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9B98D" w14:textId="1D74AE0E" w:rsidR="009C3B55" w:rsidRPr="003F1404" w:rsidRDefault="009C3B55" w:rsidP="003D0132">
      <w:pPr>
        <w:jc w:val="center"/>
        <w:rPr>
          <w:rFonts w:cs="Times New Roman"/>
          <w:szCs w:val="24"/>
        </w:rPr>
      </w:pPr>
    </w:p>
    <w:p w14:paraId="20460B2E" w14:textId="3A27B11D" w:rsidR="003D0132" w:rsidRPr="003F1404" w:rsidRDefault="003D0132" w:rsidP="003D0132">
      <w:pPr>
        <w:jc w:val="center"/>
        <w:rPr>
          <w:rFonts w:cs="Times New Roman"/>
          <w:szCs w:val="24"/>
        </w:rPr>
      </w:pPr>
    </w:p>
    <w:p w14:paraId="1FC2715D" w14:textId="0183CFBC" w:rsidR="003D0132" w:rsidRPr="003F1404" w:rsidRDefault="003D0132" w:rsidP="003D0132">
      <w:pPr>
        <w:jc w:val="center"/>
        <w:rPr>
          <w:rFonts w:cs="Times New Roman"/>
          <w:szCs w:val="24"/>
        </w:rPr>
      </w:pPr>
    </w:p>
    <w:p w14:paraId="38C515B2" w14:textId="39B6E79F" w:rsidR="003D0132" w:rsidRPr="003F1404" w:rsidRDefault="00DA4EFA" w:rsidP="003D0132">
      <w:pPr>
        <w:jc w:val="center"/>
        <w:rPr>
          <w:rFonts w:cs="Times New Roman"/>
          <w:b/>
          <w:bCs/>
          <w:szCs w:val="24"/>
        </w:rPr>
      </w:pPr>
      <w:r w:rsidRPr="003F1404">
        <w:rPr>
          <w:rFonts w:cs="Times New Roman"/>
          <w:b/>
          <w:bCs/>
          <w:szCs w:val="24"/>
        </w:rPr>
        <w:t>Comparative Analysis of Lease Accounting Under U.S. GAAP And IFRS</w:t>
      </w:r>
    </w:p>
    <w:p w14:paraId="3901F532" w14:textId="1B285C74" w:rsidR="003D0132" w:rsidRPr="003F1404" w:rsidRDefault="003D0132" w:rsidP="003D0132">
      <w:pPr>
        <w:jc w:val="center"/>
        <w:rPr>
          <w:rFonts w:cs="Times New Roman"/>
          <w:szCs w:val="24"/>
        </w:rPr>
      </w:pPr>
    </w:p>
    <w:p w14:paraId="766F8715" w14:textId="22553064" w:rsidR="003D0132" w:rsidRPr="003F1404" w:rsidRDefault="00DA4EFA" w:rsidP="003D0132">
      <w:pPr>
        <w:jc w:val="center"/>
        <w:rPr>
          <w:rFonts w:cs="Times New Roman"/>
          <w:szCs w:val="24"/>
        </w:rPr>
      </w:pPr>
      <w:r w:rsidRPr="003F1404">
        <w:rPr>
          <w:rFonts w:cs="Times New Roman"/>
          <w:szCs w:val="24"/>
        </w:rPr>
        <w:t>Name</w:t>
      </w:r>
    </w:p>
    <w:p w14:paraId="34AB9331" w14:textId="67EFC108" w:rsidR="003D0132" w:rsidRPr="003F1404" w:rsidRDefault="00DA4EFA" w:rsidP="003D0132">
      <w:pPr>
        <w:jc w:val="center"/>
        <w:rPr>
          <w:rFonts w:cs="Times New Roman"/>
          <w:szCs w:val="24"/>
        </w:rPr>
      </w:pPr>
      <w:r w:rsidRPr="003F1404">
        <w:rPr>
          <w:rFonts w:cs="Times New Roman"/>
          <w:szCs w:val="24"/>
        </w:rPr>
        <w:t>Affiliation</w:t>
      </w:r>
    </w:p>
    <w:p w14:paraId="6B6442F4" w14:textId="38E38268" w:rsidR="003D0132" w:rsidRPr="003F1404" w:rsidRDefault="00DA4EFA" w:rsidP="003D0132">
      <w:pPr>
        <w:jc w:val="center"/>
        <w:rPr>
          <w:rFonts w:cs="Times New Roman"/>
          <w:szCs w:val="24"/>
        </w:rPr>
      </w:pPr>
      <w:r w:rsidRPr="003F1404">
        <w:rPr>
          <w:rFonts w:cs="Times New Roman"/>
          <w:szCs w:val="24"/>
        </w:rPr>
        <w:t>Date</w:t>
      </w:r>
    </w:p>
    <w:p w14:paraId="4B494A2A" w14:textId="0EB83E68" w:rsidR="003D0132" w:rsidRPr="003F1404" w:rsidRDefault="003D0132" w:rsidP="003D0132">
      <w:pPr>
        <w:jc w:val="center"/>
        <w:rPr>
          <w:rFonts w:cs="Times New Roman"/>
          <w:szCs w:val="24"/>
        </w:rPr>
      </w:pPr>
    </w:p>
    <w:p w14:paraId="4D3ECDD5" w14:textId="7D6B4B1A" w:rsidR="003D0132" w:rsidRPr="003F1404" w:rsidRDefault="003D0132" w:rsidP="003D0132">
      <w:pPr>
        <w:jc w:val="center"/>
        <w:rPr>
          <w:rFonts w:cs="Times New Roman"/>
          <w:szCs w:val="24"/>
        </w:rPr>
      </w:pPr>
    </w:p>
    <w:p w14:paraId="182D25C6" w14:textId="170EE430" w:rsidR="003D0132" w:rsidRPr="003F1404" w:rsidRDefault="003D0132" w:rsidP="003D0132">
      <w:pPr>
        <w:jc w:val="center"/>
        <w:rPr>
          <w:rFonts w:cs="Times New Roman"/>
          <w:szCs w:val="24"/>
        </w:rPr>
      </w:pPr>
    </w:p>
    <w:p w14:paraId="3154D550" w14:textId="1E8829AB" w:rsidR="003D0132" w:rsidRPr="003F1404" w:rsidRDefault="003D0132" w:rsidP="003D0132">
      <w:pPr>
        <w:jc w:val="center"/>
        <w:rPr>
          <w:rFonts w:cs="Times New Roman"/>
          <w:szCs w:val="24"/>
        </w:rPr>
      </w:pPr>
    </w:p>
    <w:p w14:paraId="68B34329" w14:textId="40246505" w:rsidR="003D0132" w:rsidRPr="003F1404" w:rsidRDefault="003D0132" w:rsidP="003D0132">
      <w:pPr>
        <w:jc w:val="center"/>
        <w:rPr>
          <w:rFonts w:cs="Times New Roman"/>
          <w:szCs w:val="24"/>
        </w:rPr>
      </w:pPr>
    </w:p>
    <w:p w14:paraId="4F444496" w14:textId="09080B2F" w:rsidR="003D0132" w:rsidRPr="003F1404" w:rsidRDefault="003D0132" w:rsidP="003D0132">
      <w:pPr>
        <w:jc w:val="center"/>
        <w:rPr>
          <w:rFonts w:cs="Times New Roman"/>
          <w:szCs w:val="24"/>
        </w:rPr>
      </w:pPr>
    </w:p>
    <w:p w14:paraId="14A1B1A4" w14:textId="1A289076" w:rsidR="003D0132" w:rsidRPr="003F1404" w:rsidRDefault="003D0132" w:rsidP="003D0132">
      <w:pPr>
        <w:jc w:val="center"/>
        <w:rPr>
          <w:rFonts w:cs="Times New Roman"/>
          <w:szCs w:val="24"/>
        </w:rPr>
      </w:pPr>
    </w:p>
    <w:p w14:paraId="213AB4F8" w14:textId="643D471D" w:rsidR="003D0132" w:rsidRPr="003F1404" w:rsidRDefault="003D0132" w:rsidP="003D0132">
      <w:pPr>
        <w:jc w:val="center"/>
        <w:rPr>
          <w:rFonts w:cs="Times New Roman"/>
          <w:szCs w:val="24"/>
        </w:rPr>
      </w:pPr>
    </w:p>
    <w:p w14:paraId="1DDE0625" w14:textId="699E6E6A" w:rsidR="003D0132" w:rsidRPr="003F1404" w:rsidRDefault="003D0132" w:rsidP="003D0132">
      <w:pPr>
        <w:jc w:val="center"/>
        <w:rPr>
          <w:rFonts w:cs="Times New Roman"/>
          <w:szCs w:val="24"/>
        </w:rPr>
      </w:pPr>
    </w:p>
    <w:p w14:paraId="7DFEC274" w14:textId="3176D633" w:rsidR="003D0132" w:rsidRPr="003F1404" w:rsidRDefault="003D0132" w:rsidP="003D0132">
      <w:pPr>
        <w:jc w:val="center"/>
        <w:rPr>
          <w:rFonts w:cs="Times New Roman"/>
          <w:szCs w:val="24"/>
        </w:rPr>
      </w:pPr>
    </w:p>
    <w:p w14:paraId="37043852" w14:textId="37F17ACE" w:rsidR="003D0132" w:rsidRPr="003F1404" w:rsidRDefault="003D0132" w:rsidP="003D0132">
      <w:pPr>
        <w:jc w:val="center"/>
        <w:rPr>
          <w:rFonts w:cs="Times New Roman"/>
          <w:szCs w:val="24"/>
        </w:rPr>
      </w:pPr>
    </w:p>
    <w:p w14:paraId="46010295" w14:textId="2FCCEE7D" w:rsidR="003D0132" w:rsidRPr="003F1404" w:rsidRDefault="003D0132" w:rsidP="003D0132">
      <w:pPr>
        <w:jc w:val="center"/>
        <w:rPr>
          <w:rFonts w:cs="Times New Roman"/>
          <w:szCs w:val="24"/>
        </w:rPr>
      </w:pPr>
    </w:p>
    <w:p w14:paraId="63E5FB83" w14:textId="08EEC315" w:rsidR="003D0132" w:rsidRPr="003F1404" w:rsidRDefault="003D0132" w:rsidP="003D0132">
      <w:pPr>
        <w:jc w:val="center"/>
        <w:rPr>
          <w:rFonts w:cs="Times New Roman"/>
          <w:szCs w:val="24"/>
        </w:rPr>
      </w:pPr>
    </w:p>
    <w:p w14:paraId="4ABEC516" w14:textId="139BA946" w:rsidR="003D0132" w:rsidRPr="003F1404" w:rsidRDefault="003D0132" w:rsidP="003D0132">
      <w:pPr>
        <w:jc w:val="center"/>
        <w:rPr>
          <w:rFonts w:cs="Times New Roman"/>
          <w:szCs w:val="24"/>
        </w:rPr>
      </w:pPr>
    </w:p>
    <w:p w14:paraId="55B99275" w14:textId="5DEB3642" w:rsidR="003D0132" w:rsidRPr="003F1404" w:rsidRDefault="003D0132" w:rsidP="003D0132">
      <w:pPr>
        <w:jc w:val="center"/>
        <w:rPr>
          <w:rFonts w:cs="Times New Roman"/>
          <w:szCs w:val="24"/>
        </w:rPr>
      </w:pPr>
    </w:p>
    <w:sdt>
      <w:sdtPr>
        <w:rPr>
          <w:rFonts w:ascii="Times New Roman" w:eastAsiaTheme="minorHAnsi" w:hAnsi="Times New Roman" w:cs="Times New Roman"/>
          <w:color w:val="auto"/>
          <w:sz w:val="24"/>
          <w:szCs w:val="24"/>
        </w:rPr>
        <w:id w:val="-1888940246"/>
        <w:docPartObj>
          <w:docPartGallery w:val="Table of Contents"/>
          <w:docPartUnique/>
        </w:docPartObj>
      </w:sdtPr>
      <w:sdtEndPr>
        <w:rPr>
          <w:b/>
          <w:bCs/>
          <w:noProof/>
        </w:rPr>
      </w:sdtEndPr>
      <w:sdtContent>
        <w:p w14:paraId="3377BCCD" w14:textId="252997E6" w:rsidR="00AB6EBF" w:rsidRPr="003F1404" w:rsidRDefault="00DA4EFA">
          <w:pPr>
            <w:pStyle w:val="TOCHeading"/>
            <w:rPr>
              <w:rFonts w:ascii="Times New Roman" w:hAnsi="Times New Roman" w:cs="Times New Roman"/>
              <w:color w:val="auto"/>
              <w:sz w:val="24"/>
              <w:szCs w:val="24"/>
            </w:rPr>
          </w:pPr>
          <w:r w:rsidRPr="003F1404">
            <w:rPr>
              <w:rFonts w:ascii="Times New Roman" w:hAnsi="Times New Roman" w:cs="Times New Roman"/>
              <w:color w:val="auto"/>
              <w:sz w:val="24"/>
              <w:szCs w:val="24"/>
            </w:rPr>
            <w:t>Table of Contents</w:t>
          </w:r>
        </w:p>
        <w:p w14:paraId="17AB62C1" w14:textId="26379A0D" w:rsidR="00090708" w:rsidRPr="003F1404" w:rsidRDefault="00DA4EFA">
          <w:pPr>
            <w:pStyle w:val="TOC1"/>
            <w:tabs>
              <w:tab w:val="right" w:leader="dot" w:pos="9350"/>
            </w:tabs>
            <w:rPr>
              <w:rFonts w:eastAsiaTheme="minorEastAsia" w:cs="Times New Roman"/>
              <w:noProof/>
              <w:szCs w:val="24"/>
            </w:rPr>
          </w:pPr>
          <w:r w:rsidRPr="003F1404">
            <w:rPr>
              <w:rFonts w:cs="Times New Roman"/>
              <w:szCs w:val="24"/>
            </w:rPr>
            <w:fldChar w:fldCharType="begin"/>
          </w:r>
          <w:r w:rsidRPr="003F1404">
            <w:rPr>
              <w:rFonts w:cs="Times New Roman"/>
              <w:szCs w:val="24"/>
            </w:rPr>
            <w:instrText xml:space="preserve"> TOC \o "1-3" \h \z \u </w:instrText>
          </w:r>
          <w:r w:rsidRPr="003F1404">
            <w:rPr>
              <w:rFonts w:cs="Times New Roman"/>
              <w:szCs w:val="24"/>
            </w:rPr>
            <w:fldChar w:fldCharType="separate"/>
          </w:r>
          <w:hyperlink w:anchor="_Toc84784217" w:history="1">
            <w:r w:rsidRPr="003F1404">
              <w:rPr>
                <w:rStyle w:val="Hyperlink"/>
                <w:rFonts w:cs="Times New Roman"/>
                <w:b/>
                <w:bCs/>
                <w:noProof/>
                <w:color w:val="auto"/>
                <w:szCs w:val="24"/>
              </w:rPr>
              <w:t>Comparative Analysis of Lease Accounting Under U.S. GAAP And IFRS</w:t>
            </w:r>
            <w:r w:rsidRPr="003F1404">
              <w:rPr>
                <w:rFonts w:cs="Times New Roman"/>
                <w:noProof/>
                <w:webHidden/>
                <w:szCs w:val="24"/>
              </w:rPr>
              <w:tab/>
            </w:r>
            <w:r w:rsidRPr="003F1404">
              <w:rPr>
                <w:rFonts w:cs="Times New Roman"/>
                <w:noProof/>
                <w:webHidden/>
                <w:szCs w:val="24"/>
              </w:rPr>
              <w:fldChar w:fldCharType="begin"/>
            </w:r>
            <w:r w:rsidRPr="003F1404">
              <w:rPr>
                <w:rFonts w:cs="Times New Roman"/>
                <w:noProof/>
                <w:webHidden/>
                <w:szCs w:val="24"/>
              </w:rPr>
              <w:instrText xml:space="preserve"> PAGEREF _Toc84784217 \h </w:instrText>
            </w:r>
            <w:r w:rsidRPr="003F1404">
              <w:rPr>
                <w:rFonts w:cs="Times New Roman"/>
                <w:noProof/>
                <w:webHidden/>
                <w:szCs w:val="24"/>
              </w:rPr>
            </w:r>
            <w:r w:rsidRPr="003F1404">
              <w:rPr>
                <w:rFonts w:cs="Times New Roman"/>
                <w:noProof/>
                <w:webHidden/>
                <w:szCs w:val="24"/>
              </w:rPr>
              <w:fldChar w:fldCharType="separate"/>
            </w:r>
            <w:r w:rsidRPr="003F1404">
              <w:rPr>
                <w:rFonts w:cs="Times New Roman"/>
                <w:noProof/>
                <w:webHidden/>
                <w:szCs w:val="24"/>
              </w:rPr>
              <w:t>3</w:t>
            </w:r>
            <w:r w:rsidRPr="003F1404">
              <w:rPr>
                <w:rFonts w:cs="Times New Roman"/>
                <w:noProof/>
                <w:webHidden/>
                <w:szCs w:val="24"/>
              </w:rPr>
              <w:fldChar w:fldCharType="end"/>
            </w:r>
          </w:hyperlink>
        </w:p>
        <w:p w14:paraId="24F84C19" w14:textId="0389D186" w:rsidR="00090708" w:rsidRPr="003F1404" w:rsidRDefault="005A2682">
          <w:pPr>
            <w:pStyle w:val="TOC2"/>
            <w:tabs>
              <w:tab w:val="right" w:leader="dot" w:pos="9350"/>
            </w:tabs>
            <w:rPr>
              <w:rFonts w:eastAsiaTheme="minorEastAsia" w:cs="Times New Roman"/>
              <w:noProof/>
              <w:szCs w:val="24"/>
            </w:rPr>
          </w:pPr>
          <w:hyperlink w:anchor="_Toc84784218" w:history="1">
            <w:r w:rsidR="00DA4EFA" w:rsidRPr="003F1404">
              <w:rPr>
                <w:rStyle w:val="Hyperlink"/>
                <w:rFonts w:cs="Times New Roman"/>
                <w:b/>
                <w:bCs/>
                <w:noProof/>
                <w:color w:val="auto"/>
                <w:szCs w:val="24"/>
              </w:rPr>
              <w:t>Abstract</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_Toc84784218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3</w:t>
            </w:r>
            <w:r w:rsidR="00DA4EFA" w:rsidRPr="003F1404">
              <w:rPr>
                <w:rFonts w:cs="Times New Roman"/>
                <w:noProof/>
                <w:webHidden/>
                <w:szCs w:val="24"/>
              </w:rPr>
              <w:fldChar w:fldCharType="end"/>
            </w:r>
          </w:hyperlink>
        </w:p>
        <w:p w14:paraId="648C2795" w14:textId="5EB3EB22" w:rsidR="00090708" w:rsidRPr="003F1404" w:rsidRDefault="005A2682">
          <w:pPr>
            <w:pStyle w:val="TOC2"/>
            <w:tabs>
              <w:tab w:val="right" w:leader="dot" w:pos="9350"/>
            </w:tabs>
            <w:rPr>
              <w:rFonts w:eastAsiaTheme="minorEastAsia" w:cs="Times New Roman"/>
              <w:noProof/>
              <w:szCs w:val="24"/>
            </w:rPr>
          </w:pPr>
          <w:hyperlink w:anchor="_Toc84784219" w:history="1">
            <w:r w:rsidR="00DA4EFA" w:rsidRPr="003F1404">
              <w:rPr>
                <w:rStyle w:val="Hyperlink"/>
                <w:rFonts w:cs="Times New Roman"/>
                <w:b/>
                <w:bCs/>
                <w:noProof/>
                <w:color w:val="auto"/>
                <w:szCs w:val="24"/>
              </w:rPr>
              <w:t>Introduction</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_Toc84784219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3</w:t>
            </w:r>
            <w:r w:rsidR="00DA4EFA" w:rsidRPr="003F1404">
              <w:rPr>
                <w:rFonts w:cs="Times New Roman"/>
                <w:noProof/>
                <w:webHidden/>
                <w:szCs w:val="24"/>
              </w:rPr>
              <w:fldChar w:fldCharType="end"/>
            </w:r>
          </w:hyperlink>
        </w:p>
        <w:p w14:paraId="6FD76A6C" w14:textId="4D91D64A" w:rsidR="00090708" w:rsidRPr="003F1404" w:rsidRDefault="005A2682">
          <w:pPr>
            <w:pStyle w:val="TOC2"/>
            <w:tabs>
              <w:tab w:val="right" w:leader="dot" w:pos="9350"/>
            </w:tabs>
            <w:rPr>
              <w:rFonts w:eastAsiaTheme="minorEastAsia" w:cs="Times New Roman"/>
              <w:noProof/>
              <w:szCs w:val="24"/>
            </w:rPr>
          </w:pPr>
          <w:hyperlink w:anchor="_Toc84784220" w:history="1">
            <w:r w:rsidR="00DA4EFA" w:rsidRPr="003F1404">
              <w:rPr>
                <w:rStyle w:val="Hyperlink"/>
                <w:rFonts w:cs="Times New Roman"/>
                <w:b/>
                <w:bCs/>
                <w:noProof/>
                <w:color w:val="auto"/>
                <w:szCs w:val="24"/>
              </w:rPr>
              <w:t>Purpose Of the Study</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_Toc84784220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5</w:t>
            </w:r>
            <w:r w:rsidR="00DA4EFA" w:rsidRPr="003F1404">
              <w:rPr>
                <w:rFonts w:cs="Times New Roman"/>
                <w:noProof/>
                <w:webHidden/>
                <w:szCs w:val="24"/>
              </w:rPr>
              <w:fldChar w:fldCharType="end"/>
            </w:r>
          </w:hyperlink>
        </w:p>
        <w:p w14:paraId="361AB5A2" w14:textId="66123683" w:rsidR="00090708" w:rsidRPr="003F1404" w:rsidRDefault="005A2682">
          <w:pPr>
            <w:pStyle w:val="TOC1"/>
            <w:tabs>
              <w:tab w:val="right" w:leader="dot" w:pos="9350"/>
            </w:tabs>
            <w:rPr>
              <w:rFonts w:eastAsiaTheme="minorEastAsia" w:cs="Times New Roman"/>
              <w:noProof/>
              <w:szCs w:val="24"/>
            </w:rPr>
          </w:pPr>
          <w:hyperlink w:anchor="_Toc84784221" w:history="1">
            <w:r w:rsidR="00DA4EFA" w:rsidRPr="003F1404">
              <w:rPr>
                <w:rStyle w:val="Hyperlink"/>
                <w:rFonts w:cs="Times New Roman"/>
                <w:b/>
                <w:bCs/>
                <w:noProof/>
                <w:color w:val="auto"/>
                <w:szCs w:val="24"/>
              </w:rPr>
              <w:t>Revenue Acknowledgement</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_Toc84784221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5</w:t>
            </w:r>
            <w:r w:rsidR="00DA4EFA" w:rsidRPr="003F1404">
              <w:rPr>
                <w:rFonts w:cs="Times New Roman"/>
                <w:noProof/>
                <w:webHidden/>
                <w:szCs w:val="24"/>
              </w:rPr>
              <w:fldChar w:fldCharType="end"/>
            </w:r>
          </w:hyperlink>
        </w:p>
        <w:p w14:paraId="39B6E031" w14:textId="1881D6DB" w:rsidR="00090708" w:rsidRPr="003F1404" w:rsidRDefault="005A2682">
          <w:pPr>
            <w:pStyle w:val="TOC1"/>
            <w:tabs>
              <w:tab w:val="right" w:leader="dot" w:pos="9350"/>
            </w:tabs>
            <w:rPr>
              <w:rFonts w:eastAsiaTheme="minorEastAsia" w:cs="Times New Roman"/>
              <w:noProof/>
              <w:szCs w:val="24"/>
            </w:rPr>
          </w:pPr>
          <w:hyperlink w:anchor="_Toc84784222" w:history="1">
            <w:r w:rsidR="00DA4EFA" w:rsidRPr="003F1404">
              <w:rPr>
                <w:rStyle w:val="Hyperlink"/>
                <w:rFonts w:cs="Times New Roman"/>
                <w:b/>
                <w:bCs/>
                <w:noProof/>
                <w:color w:val="auto"/>
                <w:szCs w:val="24"/>
              </w:rPr>
              <w:t>Inventory</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_Toc84784222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6</w:t>
            </w:r>
            <w:r w:rsidR="00DA4EFA" w:rsidRPr="003F1404">
              <w:rPr>
                <w:rFonts w:cs="Times New Roman"/>
                <w:noProof/>
                <w:webHidden/>
                <w:szCs w:val="24"/>
              </w:rPr>
              <w:fldChar w:fldCharType="end"/>
            </w:r>
          </w:hyperlink>
        </w:p>
        <w:p w14:paraId="37C3978F" w14:textId="7F905299" w:rsidR="00090708" w:rsidRPr="003F1404" w:rsidRDefault="005A2682">
          <w:pPr>
            <w:pStyle w:val="TOC1"/>
            <w:tabs>
              <w:tab w:val="right" w:leader="dot" w:pos="9350"/>
            </w:tabs>
            <w:rPr>
              <w:rFonts w:eastAsiaTheme="minorEastAsia" w:cs="Times New Roman"/>
              <w:noProof/>
              <w:szCs w:val="24"/>
            </w:rPr>
          </w:pPr>
          <w:hyperlink w:anchor="_Toc84784223" w:history="1">
            <w:r w:rsidR="00DA4EFA" w:rsidRPr="003F1404">
              <w:rPr>
                <w:rStyle w:val="Hyperlink"/>
                <w:rFonts w:cs="Times New Roman"/>
                <w:b/>
                <w:bCs/>
                <w:noProof/>
                <w:color w:val="auto"/>
                <w:szCs w:val="24"/>
              </w:rPr>
              <w:t>Incomes Taxes</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_Toc84784223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6</w:t>
            </w:r>
            <w:r w:rsidR="00DA4EFA" w:rsidRPr="003F1404">
              <w:rPr>
                <w:rFonts w:cs="Times New Roman"/>
                <w:noProof/>
                <w:webHidden/>
                <w:szCs w:val="24"/>
              </w:rPr>
              <w:fldChar w:fldCharType="end"/>
            </w:r>
          </w:hyperlink>
        </w:p>
        <w:p w14:paraId="659A2808" w14:textId="0CF8BE96" w:rsidR="00090708" w:rsidRPr="003F1404" w:rsidRDefault="005A2682">
          <w:pPr>
            <w:pStyle w:val="TOC1"/>
            <w:tabs>
              <w:tab w:val="right" w:leader="dot" w:pos="9350"/>
            </w:tabs>
            <w:rPr>
              <w:rFonts w:eastAsiaTheme="minorEastAsia" w:cs="Times New Roman"/>
              <w:noProof/>
              <w:szCs w:val="24"/>
            </w:rPr>
          </w:pPr>
          <w:hyperlink w:anchor="_Toc84784224" w:history="1">
            <w:r w:rsidR="00DA4EFA" w:rsidRPr="003F1404">
              <w:rPr>
                <w:rStyle w:val="Hyperlink"/>
                <w:rFonts w:cs="Times New Roman"/>
                <w:b/>
                <w:bCs/>
                <w:noProof/>
                <w:color w:val="auto"/>
                <w:szCs w:val="24"/>
              </w:rPr>
              <w:t>Differences Between IFRS and U.S GAAP in Terms of Leases</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_Toc84784224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7</w:t>
            </w:r>
            <w:r w:rsidR="00DA4EFA" w:rsidRPr="003F1404">
              <w:rPr>
                <w:rFonts w:cs="Times New Roman"/>
                <w:noProof/>
                <w:webHidden/>
                <w:szCs w:val="24"/>
              </w:rPr>
              <w:fldChar w:fldCharType="end"/>
            </w:r>
          </w:hyperlink>
        </w:p>
        <w:p w14:paraId="65FEA800" w14:textId="583143D9" w:rsidR="00090708" w:rsidRPr="003F1404" w:rsidRDefault="005A2682">
          <w:pPr>
            <w:pStyle w:val="TOC2"/>
            <w:tabs>
              <w:tab w:val="right" w:leader="dot" w:pos="9350"/>
            </w:tabs>
            <w:rPr>
              <w:rFonts w:eastAsiaTheme="minorEastAsia" w:cs="Times New Roman"/>
              <w:noProof/>
              <w:szCs w:val="24"/>
            </w:rPr>
          </w:pPr>
          <w:hyperlink w:anchor="_Toc84784225" w:history="1">
            <w:r w:rsidR="00DA4EFA" w:rsidRPr="003F1404">
              <w:rPr>
                <w:rStyle w:val="Hyperlink"/>
                <w:rFonts w:cs="Times New Roman"/>
                <w:b/>
                <w:bCs/>
                <w:noProof/>
                <w:color w:val="auto"/>
                <w:szCs w:val="24"/>
              </w:rPr>
              <w:t>Conclusion</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_Toc84784225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8</w:t>
            </w:r>
            <w:r w:rsidR="00DA4EFA" w:rsidRPr="003F1404">
              <w:rPr>
                <w:rFonts w:cs="Times New Roman"/>
                <w:noProof/>
                <w:webHidden/>
                <w:szCs w:val="24"/>
              </w:rPr>
              <w:fldChar w:fldCharType="end"/>
            </w:r>
          </w:hyperlink>
        </w:p>
        <w:p w14:paraId="757FF3D2" w14:textId="18B98B49" w:rsidR="00090708" w:rsidRPr="003F1404" w:rsidRDefault="005A2682">
          <w:pPr>
            <w:pStyle w:val="TOC2"/>
            <w:tabs>
              <w:tab w:val="right" w:leader="dot" w:pos="9350"/>
            </w:tabs>
            <w:rPr>
              <w:rFonts w:eastAsiaTheme="minorEastAsia" w:cs="Times New Roman"/>
              <w:noProof/>
              <w:szCs w:val="24"/>
            </w:rPr>
          </w:pPr>
          <w:hyperlink w:anchor="_Toc84784226" w:history="1">
            <w:r w:rsidR="00DA4EFA" w:rsidRPr="003F1404">
              <w:rPr>
                <w:rStyle w:val="Hyperlink"/>
                <w:rFonts w:cs="Times New Roman"/>
                <w:noProof/>
                <w:color w:val="auto"/>
                <w:szCs w:val="24"/>
              </w:rPr>
              <w:t>References</w:t>
            </w:r>
            <w:r w:rsidR="00DA4EFA" w:rsidRPr="003F1404">
              <w:rPr>
                <w:rFonts w:cs="Times New Roman"/>
                <w:noProof/>
                <w:webHidden/>
                <w:szCs w:val="24"/>
              </w:rPr>
              <w:tab/>
            </w:r>
            <w:r w:rsidR="00DA4EFA" w:rsidRPr="003F1404">
              <w:rPr>
                <w:rFonts w:cs="Times New Roman"/>
                <w:noProof/>
                <w:webHidden/>
                <w:szCs w:val="24"/>
              </w:rPr>
              <w:fldChar w:fldCharType="begin"/>
            </w:r>
            <w:r w:rsidR="00DA4EFA" w:rsidRPr="003F1404">
              <w:rPr>
                <w:rFonts w:cs="Times New Roman"/>
                <w:noProof/>
                <w:webHidden/>
                <w:szCs w:val="24"/>
              </w:rPr>
              <w:instrText xml:space="preserve"> PAGEREF _Toc84784226 \h </w:instrText>
            </w:r>
            <w:r w:rsidR="00DA4EFA" w:rsidRPr="003F1404">
              <w:rPr>
                <w:rFonts w:cs="Times New Roman"/>
                <w:noProof/>
                <w:webHidden/>
                <w:szCs w:val="24"/>
              </w:rPr>
            </w:r>
            <w:r w:rsidR="00DA4EFA" w:rsidRPr="003F1404">
              <w:rPr>
                <w:rFonts w:cs="Times New Roman"/>
                <w:noProof/>
                <w:webHidden/>
                <w:szCs w:val="24"/>
              </w:rPr>
              <w:fldChar w:fldCharType="separate"/>
            </w:r>
            <w:r w:rsidR="00DA4EFA" w:rsidRPr="003F1404">
              <w:rPr>
                <w:rFonts w:cs="Times New Roman"/>
                <w:noProof/>
                <w:webHidden/>
                <w:szCs w:val="24"/>
              </w:rPr>
              <w:t>10</w:t>
            </w:r>
            <w:r w:rsidR="00DA4EFA" w:rsidRPr="003F1404">
              <w:rPr>
                <w:rFonts w:cs="Times New Roman"/>
                <w:noProof/>
                <w:webHidden/>
                <w:szCs w:val="24"/>
              </w:rPr>
              <w:fldChar w:fldCharType="end"/>
            </w:r>
          </w:hyperlink>
        </w:p>
        <w:p w14:paraId="1392CD88" w14:textId="48B9A7BD" w:rsidR="00AB6EBF" w:rsidRPr="003F1404" w:rsidRDefault="00DA4EFA">
          <w:pPr>
            <w:rPr>
              <w:rFonts w:cs="Times New Roman"/>
              <w:szCs w:val="24"/>
            </w:rPr>
          </w:pPr>
          <w:r w:rsidRPr="003F1404">
            <w:rPr>
              <w:rFonts w:cs="Times New Roman"/>
              <w:b/>
              <w:bCs/>
              <w:noProof/>
              <w:szCs w:val="24"/>
            </w:rPr>
            <w:fldChar w:fldCharType="end"/>
          </w:r>
        </w:p>
      </w:sdtContent>
    </w:sdt>
    <w:p w14:paraId="238D6722" w14:textId="09D674A1" w:rsidR="00AB6EBF" w:rsidRPr="003F1404" w:rsidRDefault="00AB6EBF" w:rsidP="003D0132">
      <w:pPr>
        <w:jc w:val="center"/>
        <w:rPr>
          <w:rFonts w:cs="Times New Roman"/>
          <w:szCs w:val="24"/>
        </w:rPr>
      </w:pPr>
    </w:p>
    <w:p w14:paraId="03450994" w14:textId="0A8D1204" w:rsidR="00AB6EBF" w:rsidRPr="003F1404" w:rsidRDefault="00AB6EBF" w:rsidP="003D0132">
      <w:pPr>
        <w:jc w:val="center"/>
        <w:rPr>
          <w:rFonts w:cs="Times New Roman"/>
          <w:szCs w:val="24"/>
        </w:rPr>
      </w:pPr>
    </w:p>
    <w:p w14:paraId="60F8CD1D" w14:textId="71B76EEE" w:rsidR="00AB6EBF" w:rsidRPr="003F1404" w:rsidRDefault="00AB6EBF" w:rsidP="003D0132">
      <w:pPr>
        <w:jc w:val="center"/>
        <w:rPr>
          <w:rFonts w:cs="Times New Roman"/>
          <w:szCs w:val="24"/>
        </w:rPr>
      </w:pPr>
    </w:p>
    <w:p w14:paraId="2527902E" w14:textId="0247AC5B" w:rsidR="00AB6EBF" w:rsidRPr="003F1404" w:rsidRDefault="00AB6EBF" w:rsidP="003D0132">
      <w:pPr>
        <w:jc w:val="center"/>
        <w:rPr>
          <w:rFonts w:cs="Times New Roman"/>
          <w:szCs w:val="24"/>
        </w:rPr>
      </w:pPr>
    </w:p>
    <w:p w14:paraId="12ABDA41" w14:textId="3A151D75" w:rsidR="00AB6EBF" w:rsidRPr="003F1404" w:rsidRDefault="00AB6EBF" w:rsidP="003D0132">
      <w:pPr>
        <w:jc w:val="center"/>
        <w:rPr>
          <w:rFonts w:cs="Times New Roman"/>
          <w:szCs w:val="24"/>
        </w:rPr>
      </w:pPr>
    </w:p>
    <w:p w14:paraId="5717F322" w14:textId="2A0A2969" w:rsidR="00AB6EBF" w:rsidRPr="003F1404" w:rsidRDefault="00AB6EBF" w:rsidP="003D0132">
      <w:pPr>
        <w:jc w:val="center"/>
        <w:rPr>
          <w:rFonts w:cs="Times New Roman"/>
          <w:szCs w:val="24"/>
        </w:rPr>
      </w:pPr>
    </w:p>
    <w:p w14:paraId="62E357EA" w14:textId="52E3B887" w:rsidR="00AB6EBF" w:rsidRPr="003F1404" w:rsidRDefault="00AB6EBF" w:rsidP="003D0132">
      <w:pPr>
        <w:jc w:val="center"/>
        <w:rPr>
          <w:rFonts w:cs="Times New Roman"/>
          <w:szCs w:val="24"/>
        </w:rPr>
      </w:pPr>
    </w:p>
    <w:p w14:paraId="052B05C3" w14:textId="77777777" w:rsidR="00090708" w:rsidRPr="003F1404" w:rsidRDefault="00090708" w:rsidP="003D0132">
      <w:pPr>
        <w:jc w:val="center"/>
        <w:rPr>
          <w:rFonts w:cs="Times New Roman"/>
          <w:szCs w:val="24"/>
        </w:rPr>
      </w:pPr>
    </w:p>
    <w:p w14:paraId="4D921717" w14:textId="0918C4A5" w:rsidR="003D0132" w:rsidRPr="003F1404" w:rsidRDefault="00DA4EFA" w:rsidP="00090708">
      <w:pPr>
        <w:pStyle w:val="Heading1"/>
        <w:jc w:val="center"/>
        <w:rPr>
          <w:rFonts w:ascii="Times New Roman" w:hAnsi="Times New Roman" w:cs="Times New Roman"/>
          <w:b/>
          <w:bCs/>
          <w:color w:val="auto"/>
          <w:sz w:val="24"/>
          <w:szCs w:val="24"/>
        </w:rPr>
      </w:pPr>
      <w:bookmarkStart w:id="0" w:name="_Toc84784217"/>
      <w:r w:rsidRPr="003F1404">
        <w:rPr>
          <w:rFonts w:ascii="Times New Roman" w:hAnsi="Times New Roman" w:cs="Times New Roman"/>
          <w:b/>
          <w:bCs/>
          <w:color w:val="auto"/>
          <w:sz w:val="24"/>
          <w:szCs w:val="24"/>
        </w:rPr>
        <w:lastRenderedPageBreak/>
        <w:t xml:space="preserve">Comparative Analysis </w:t>
      </w:r>
      <w:r w:rsidR="00090708" w:rsidRPr="003F1404">
        <w:rPr>
          <w:rFonts w:ascii="Times New Roman" w:hAnsi="Times New Roman" w:cs="Times New Roman"/>
          <w:b/>
          <w:bCs/>
          <w:color w:val="auto"/>
          <w:sz w:val="24"/>
          <w:szCs w:val="24"/>
        </w:rPr>
        <w:t xml:space="preserve">of </w:t>
      </w:r>
      <w:r w:rsidRPr="003F1404">
        <w:rPr>
          <w:rFonts w:ascii="Times New Roman" w:hAnsi="Times New Roman" w:cs="Times New Roman"/>
          <w:b/>
          <w:bCs/>
          <w:color w:val="auto"/>
          <w:sz w:val="24"/>
          <w:szCs w:val="24"/>
        </w:rPr>
        <w:t>Lease Accounting Under U</w:t>
      </w:r>
      <w:r w:rsidR="00090708" w:rsidRPr="003F1404">
        <w:rPr>
          <w:rFonts w:ascii="Times New Roman" w:hAnsi="Times New Roman" w:cs="Times New Roman"/>
          <w:b/>
          <w:bCs/>
          <w:color w:val="auto"/>
          <w:sz w:val="24"/>
          <w:szCs w:val="24"/>
        </w:rPr>
        <w:t>.</w:t>
      </w:r>
      <w:r w:rsidRPr="003F1404">
        <w:rPr>
          <w:rFonts w:ascii="Times New Roman" w:hAnsi="Times New Roman" w:cs="Times New Roman"/>
          <w:b/>
          <w:bCs/>
          <w:color w:val="auto"/>
          <w:sz w:val="24"/>
          <w:szCs w:val="24"/>
        </w:rPr>
        <w:t>S</w:t>
      </w:r>
      <w:r w:rsidR="00090708" w:rsidRPr="003F1404">
        <w:rPr>
          <w:rFonts w:ascii="Times New Roman" w:hAnsi="Times New Roman" w:cs="Times New Roman"/>
          <w:b/>
          <w:bCs/>
          <w:color w:val="auto"/>
          <w:sz w:val="24"/>
          <w:szCs w:val="24"/>
        </w:rPr>
        <w:t xml:space="preserve">. </w:t>
      </w:r>
      <w:r w:rsidRPr="003F1404">
        <w:rPr>
          <w:rFonts w:ascii="Times New Roman" w:hAnsi="Times New Roman" w:cs="Times New Roman"/>
          <w:b/>
          <w:bCs/>
          <w:color w:val="auto"/>
          <w:sz w:val="24"/>
          <w:szCs w:val="24"/>
        </w:rPr>
        <w:t>GAAP And IFRS</w:t>
      </w:r>
      <w:bookmarkEnd w:id="0"/>
    </w:p>
    <w:p w14:paraId="433480C8" w14:textId="4E3188C7" w:rsidR="003D0132" w:rsidRPr="003F1404" w:rsidRDefault="00DA4EFA" w:rsidP="00AB6EBF">
      <w:pPr>
        <w:pStyle w:val="Heading2"/>
        <w:rPr>
          <w:rFonts w:ascii="Times New Roman" w:hAnsi="Times New Roman" w:cs="Times New Roman"/>
          <w:color w:val="auto"/>
          <w:sz w:val="24"/>
          <w:szCs w:val="24"/>
        </w:rPr>
      </w:pPr>
      <w:bookmarkStart w:id="1" w:name="_Toc84784218"/>
      <w:r w:rsidRPr="003F1404">
        <w:rPr>
          <w:rFonts w:ascii="Times New Roman" w:hAnsi="Times New Roman" w:cs="Times New Roman"/>
          <w:b/>
          <w:bCs/>
          <w:color w:val="auto"/>
          <w:sz w:val="24"/>
          <w:szCs w:val="24"/>
        </w:rPr>
        <w:t>Abstract</w:t>
      </w:r>
      <w:bookmarkEnd w:id="1"/>
    </w:p>
    <w:p w14:paraId="5DF40870" w14:textId="4DD16C2D" w:rsidR="003D0132" w:rsidRPr="003F1404" w:rsidRDefault="00DA4EFA" w:rsidP="00645ADE">
      <w:pPr>
        <w:ind w:firstLine="720"/>
        <w:rPr>
          <w:rFonts w:cs="Times New Roman"/>
          <w:szCs w:val="24"/>
        </w:rPr>
      </w:pPr>
      <w:r w:rsidRPr="003F1404">
        <w:rPr>
          <w:rFonts w:cs="Times New Roman"/>
          <w:szCs w:val="24"/>
        </w:rPr>
        <w:t xml:space="preserve">For more than three decades, researchers and experts in the accounting field have </w:t>
      </w:r>
      <w:r w:rsidR="00F9095E" w:rsidRPr="003F1404">
        <w:rPr>
          <w:rFonts w:cs="Times New Roman"/>
          <w:szCs w:val="24"/>
        </w:rPr>
        <w:t xml:space="preserve">debated </w:t>
      </w:r>
      <w:r w:rsidR="00645ADE" w:rsidRPr="003F1404">
        <w:rPr>
          <w:rFonts w:cs="Times New Roman"/>
          <w:szCs w:val="24"/>
        </w:rPr>
        <w:t xml:space="preserve">the quality of </w:t>
      </w:r>
      <w:r w:rsidR="00174E88" w:rsidRPr="003F1404">
        <w:rPr>
          <w:rFonts w:cs="Times New Roman"/>
          <w:szCs w:val="24"/>
        </w:rPr>
        <w:t>monetary</w:t>
      </w:r>
      <w:r w:rsidR="00645ADE" w:rsidRPr="003F1404">
        <w:rPr>
          <w:rFonts w:cs="Times New Roman"/>
          <w:szCs w:val="24"/>
        </w:rPr>
        <w:t xml:space="preserve"> statements. Eventually, the most </w:t>
      </w:r>
      <w:r w:rsidR="00174E88" w:rsidRPr="003F1404">
        <w:rPr>
          <w:rFonts w:cs="Times New Roman"/>
          <w:szCs w:val="24"/>
        </w:rPr>
        <w:t>widespread</w:t>
      </w:r>
      <w:r w:rsidR="00645ADE" w:rsidRPr="003F1404">
        <w:rPr>
          <w:rFonts w:cs="Times New Roman"/>
          <w:szCs w:val="24"/>
        </w:rPr>
        <w:t xml:space="preserve"> are IFRS</w:t>
      </w:r>
      <w:r w:rsidR="00371FC2" w:rsidRPr="003F1404">
        <w:rPr>
          <w:rFonts w:cs="Times New Roman"/>
          <w:szCs w:val="24"/>
        </w:rPr>
        <w:t xml:space="preserve"> and U.S GAAP</w:t>
      </w:r>
      <w:r w:rsidR="00645ADE" w:rsidRPr="003F1404">
        <w:rPr>
          <w:rFonts w:cs="Times New Roman"/>
          <w:szCs w:val="24"/>
        </w:rPr>
        <w:t xml:space="preserve">. The difference between the two </w:t>
      </w:r>
      <w:r w:rsidR="00174E88" w:rsidRPr="003F1404">
        <w:rPr>
          <w:rFonts w:cs="Times New Roman"/>
          <w:szCs w:val="24"/>
        </w:rPr>
        <w:t>values</w:t>
      </w:r>
      <w:r w:rsidR="00645ADE" w:rsidRPr="003F1404">
        <w:rPr>
          <w:rFonts w:cs="Times New Roman"/>
          <w:szCs w:val="24"/>
        </w:rPr>
        <w:t xml:space="preserve"> is visible in all the highly used and </w:t>
      </w:r>
      <w:r w:rsidR="00F9095E" w:rsidRPr="003F1404">
        <w:rPr>
          <w:rFonts w:cs="Times New Roman"/>
          <w:szCs w:val="24"/>
        </w:rPr>
        <w:t>risky</w:t>
      </w:r>
      <w:r w:rsidR="00645ADE" w:rsidRPr="003F1404">
        <w:rPr>
          <w:rFonts w:cs="Times New Roman"/>
          <w:szCs w:val="24"/>
        </w:rPr>
        <w:t xml:space="preserve"> </w:t>
      </w:r>
      <w:r w:rsidR="00F9095E" w:rsidRPr="003F1404">
        <w:rPr>
          <w:rFonts w:cs="Times New Roman"/>
          <w:szCs w:val="24"/>
        </w:rPr>
        <w:t>accounts. Currently</w:t>
      </w:r>
      <w:r w:rsidR="00645ADE" w:rsidRPr="003F1404">
        <w:rPr>
          <w:rFonts w:cs="Times New Roman"/>
          <w:szCs w:val="24"/>
        </w:rPr>
        <w:t xml:space="preserve">, the </w:t>
      </w:r>
      <w:r w:rsidR="00F9095E" w:rsidRPr="003F1404">
        <w:rPr>
          <w:rFonts w:cs="Times New Roman"/>
          <w:szCs w:val="24"/>
        </w:rPr>
        <w:t xml:space="preserve">accounting </w:t>
      </w:r>
      <w:r w:rsidR="00174E88" w:rsidRPr="003F1404">
        <w:rPr>
          <w:rFonts w:cs="Times New Roman"/>
          <w:szCs w:val="24"/>
        </w:rPr>
        <w:t>occupation</w:t>
      </w:r>
      <w:r w:rsidR="00645ADE" w:rsidRPr="003F1404">
        <w:rPr>
          <w:rFonts w:cs="Times New Roman"/>
          <w:szCs w:val="24"/>
        </w:rPr>
        <w:t xml:space="preserve"> distinguishes </w:t>
      </w:r>
      <w:r w:rsidR="00F9095E" w:rsidRPr="003F1404">
        <w:rPr>
          <w:rFonts w:cs="Times New Roman"/>
          <w:szCs w:val="24"/>
        </w:rPr>
        <w:t>this difference</w:t>
      </w:r>
      <w:r w:rsidR="00645ADE" w:rsidRPr="003F1404">
        <w:rPr>
          <w:rFonts w:cs="Times New Roman"/>
          <w:szCs w:val="24"/>
        </w:rPr>
        <w:t xml:space="preserve"> </w:t>
      </w:r>
      <w:r w:rsidR="00F9095E" w:rsidRPr="003F1404">
        <w:rPr>
          <w:rFonts w:cs="Times New Roman"/>
          <w:szCs w:val="24"/>
        </w:rPr>
        <w:t>from a</w:t>
      </w:r>
      <w:r w:rsidR="00645ADE" w:rsidRPr="003F1404">
        <w:rPr>
          <w:rFonts w:cs="Times New Roman"/>
          <w:szCs w:val="24"/>
        </w:rPr>
        <w:t xml:space="preserve"> </w:t>
      </w:r>
      <w:r w:rsidR="00F9095E" w:rsidRPr="003F1404">
        <w:rPr>
          <w:rFonts w:cs="Times New Roman"/>
          <w:szCs w:val="24"/>
        </w:rPr>
        <w:t>report</w:t>
      </w:r>
      <w:r w:rsidR="00645ADE" w:rsidRPr="003F1404">
        <w:rPr>
          <w:rFonts w:cs="Times New Roman"/>
          <w:szCs w:val="24"/>
        </w:rPr>
        <w:t xml:space="preserve"> based on if the nation uses regulations from IASB or the FASB.</w:t>
      </w:r>
      <w:r w:rsidR="00F9095E" w:rsidRPr="003F1404">
        <w:rPr>
          <w:rFonts w:cs="Times New Roman"/>
          <w:szCs w:val="24"/>
        </w:rPr>
        <w:t xml:space="preserve"> </w:t>
      </w:r>
      <w:r w:rsidR="00645ADE" w:rsidRPr="003F1404">
        <w:rPr>
          <w:rFonts w:cs="Times New Roman"/>
          <w:szCs w:val="24"/>
        </w:rPr>
        <w:t>U.S GAAP standards ultimately need to meet to enable the flow of the global economy ore competently.</w:t>
      </w:r>
    </w:p>
    <w:p w14:paraId="3BDC5FBE" w14:textId="1A96B0DC" w:rsidR="00645ADE" w:rsidRPr="003F1404" w:rsidRDefault="00DA4EFA" w:rsidP="00AB6EBF">
      <w:pPr>
        <w:pStyle w:val="Heading2"/>
        <w:rPr>
          <w:rFonts w:ascii="Times New Roman" w:hAnsi="Times New Roman" w:cs="Times New Roman"/>
          <w:color w:val="auto"/>
          <w:sz w:val="24"/>
          <w:szCs w:val="24"/>
        </w:rPr>
      </w:pPr>
      <w:bookmarkStart w:id="2" w:name="_Toc84784219"/>
      <w:r w:rsidRPr="003F1404">
        <w:rPr>
          <w:rFonts w:ascii="Times New Roman" w:hAnsi="Times New Roman" w:cs="Times New Roman"/>
          <w:b/>
          <w:bCs/>
          <w:color w:val="auto"/>
          <w:sz w:val="24"/>
          <w:szCs w:val="24"/>
        </w:rPr>
        <w:t>Introduction</w:t>
      </w:r>
      <w:bookmarkEnd w:id="2"/>
      <w:r w:rsidRPr="003F1404">
        <w:rPr>
          <w:rFonts w:ascii="Times New Roman" w:hAnsi="Times New Roman" w:cs="Times New Roman"/>
          <w:color w:val="auto"/>
          <w:sz w:val="24"/>
          <w:szCs w:val="24"/>
        </w:rPr>
        <w:t xml:space="preserve"> </w:t>
      </w:r>
    </w:p>
    <w:p w14:paraId="769F3DDB" w14:textId="68AFB03D" w:rsidR="00090708" w:rsidRPr="003F1404" w:rsidRDefault="00DA4EFA" w:rsidP="00645ADE">
      <w:pPr>
        <w:rPr>
          <w:rFonts w:cs="Times New Roman"/>
          <w:szCs w:val="24"/>
        </w:rPr>
      </w:pPr>
      <w:r w:rsidRPr="003F1404">
        <w:rPr>
          <w:rFonts w:cs="Times New Roman"/>
          <w:b/>
          <w:bCs/>
          <w:szCs w:val="24"/>
        </w:rPr>
        <w:tab/>
      </w:r>
      <w:r w:rsidR="002B51D5" w:rsidRPr="003F1404">
        <w:rPr>
          <w:rFonts w:cs="Times New Roman"/>
          <w:szCs w:val="24"/>
        </w:rPr>
        <w:t>According to the</w:t>
      </w:r>
      <w:r w:rsidR="00371FC2" w:rsidRPr="003F1404">
        <w:rPr>
          <w:rFonts w:cs="Times New Roman"/>
          <w:szCs w:val="24"/>
        </w:rPr>
        <w:t xml:space="preserve"> </w:t>
      </w:r>
      <w:r w:rsidR="002B51D5" w:rsidRPr="003F1404">
        <w:rPr>
          <w:rFonts w:cs="Times New Roman"/>
          <w:szCs w:val="24"/>
        </w:rPr>
        <w:t xml:space="preserve">FASB, leasing is used by different </w:t>
      </w:r>
      <w:r w:rsidR="00F9095E" w:rsidRPr="003F1404">
        <w:rPr>
          <w:rFonts w:cs="Times New Roman"/>
          <w:szCs w:val="24"/>
        </w:rPr>
        <w:t>entities. Leasing</w:t>
      </w:r>
      <w:r w:rsidR="002B51D5" w:rsidRPr="003F1404">
        <w:rPr>
          <w:rFonts w:cs="Times New Roman"/>
          <w:szCs w:val="24"/>
        </w:rPr>
        <w:t xml:space="preserve"> serves </w:t>
      </w:r>
      <w:r w:rsidR="00F9095E" w:rsidRPr="003F1404">
        <w:rPr>
          <w:rFonts w:cs="Times New Roman"/>
          <w:szCs w:val="24"/>
        </w:rPr>
        <w:t>a</w:t>
      </w:r>
      <w:r w:rsidR="002B51D5" w:rsidRPr="003F1404">
        <w:rPr>
          <w:rFonts w:cs="Times New Roman"/>
          <w:szCs w:val="24"/>
        </w:rPr>
        <w:t xml:space="preserve">s a means of obtaining </w:t>
      </w:r>
      <w:r w:rsidR="00F9095E" w:rsidRPr="003F1404">
        <w:rPr>
          <w:rFonts w:cs="Times New Roman"/>
          <w:szCs w:val="24"/>
        </w:rPr>
        <w:t xml:space="preserve">financing, </w:t>
      </w:r>
      <w:r w:rsidR="00371FC2" w:rsidRPr="003F1404">
        <w:rPr>
          <w:rFonts w:cs="Times New Roman"/>
          <w:szCs w:val="24"/>
        </w:rPr>
        <w:t>acquiring</w:t>
      </w:r>
      <w:r w:rsidR="002B51D5" w:rsidRPr="003F1404">
        <w:rPr>
          <w:rFonts w:cs="Times New Roman"/>
          <w:szCs w:val="24"/>
        </w:rPr>
        <w:t xml:space="preserve"> access to </w:t>
      </w:r>
      <w:r w:rsidR="00371FC2" w:rsidRPr="003F1404">
        <w:rPr>
          <w:rFonts w:cs="Times New Roman"/>
          <w:szCs w:val="24"/>
        </w:rPr>
        <w:t>possessions</w:t>
      </w:r>
      <w:r w:rsidR="00F9095E" w:rsidRPr="003F1404">
        <w:rPr>
          <w:rFonts w:cs="Times New Roman"/>
          <w:szCs w:val="24"/>
        </w:rPr>
        <w:t>. Leasing</w:t>
      </w:r>
      <w:r w:rsidR="002B51D5" w:rsidRPr="003F1404">
        <w:rPr>
          <w:rFonts w:cs="Times New Roman"/>
          <w:szCs w:val="24"/>
        </w:rPr>
        <w:t xml:space="preserve"> also serves as a tool to reduce a </w:t>
      </w:r>
      <w:r w:rsidR="00371FC2" w:rsidRPr="003F1404">
        <w:rPr>
          <w:rFonts w:cs="Times New Roman"/>
          <w:szCs w:val="24"/>
        </w:rPr>
        <w:t>firm’</w:t>
      </w:r>
      <w:r w:rsidR="002B51D5" w:rsidRPr="003F1404">
        <w:rPr>
          <w:rFonts w:cs="Times New Roman"/>
          <w:szCs w:val="24"/>
        </w:rPr>
        <w:t xml:space="preserve">s </w:t>
      </w:r>
      <w:r w:rsidR="00371FC2" w:rsidRPr="003F1404">
        <w:rPr>
          <w:rFonts w:cs="Times New Roman"/>
          <w:szCs w:val="24"/>
        </w:rPr>
        <w:t>acquaintance</w:t>
      </w:r>
      <w:r w:rsidR="002B51D5" w:rsidRPr="003F1404">
        <w:rPr>
          <w:rFonts w:cs="Times New Roman"/>
          <w:szCs w:val="24"/>
        </w:rPr>
        <w:t xml:space="preserve"> </w:t>
      </w:r>
      <w:r w:rsidR="00F9095E" w:rsidRPr="003F1404">
        <w:rPr>
          <w:rFonts w:cs="Times New Roman"/>
          <w:szCs w:val="24"/>
        </w:rPr>
        <w:t>to risks</w:t>
      </w:r>
      <w:r w:rsidR="002B51D5" w:rsidRPr="003F1404">
        <w:rPr>
          <w:rFonts w:cs="Times New Roman"/>
          <w:szCs w:val="24"/>
        </w:rPr>
        <w:t xml:space="preserve"> of assets </w:t>
      </w:r>
      <w:r w:rsidR="00F9095E" w:rsidRPr="003F1404">
        <w:rPr>
          <w:rFonts w:cs="Times New Roman"/>
          <w:szCs w:val="24"/>
        </w:rPr>
        <w:t>ownership. The</w:t>
      </w:r>
      <w:r w:rsidR="002B51D5" w:rsidRPr="003F1404">
        <w:rPr>
          <w:rFonts w:cs="Times New Roman"/>
          <w:szCs w:val="24"/>
        </w:rPr>
        <w:t xml:space="preserve"> pervasiveness of </w:t>
      </w:r>
      <w:r w:rsidR="00F24A00" w:rsidRPr="003F1404">
        <w:rPr>
          <w:rFonts w:cs="Times New Roman"/>
          <w:szCs w:val="24"/>
        </w:rPr>
        <w:t>letting</w:t>
      </w:r>
      <w:r w:rsidR="002B51D5" w:rsidRPr="003F1404">
        <w:rPr>
          <w:rFonts w:cs="Times New Roman"/>
          <w:szCs w:val="24"/>
        </w:rPr>
        <w:t xml:space="preserve"> implies that it is critical for </w:t>
      </w:r>
      <w:r w:rsidR="00F24A00" w:rsidRPr="003F1404">
        <w:rPr>
          <w:rFonts w:cs="Times New Roman"/>
          <w:szCs w:val="24"/>
        </w:rPr>
        <w:t>operators</w:t>
      </w:r>
      <w:r w:rsidR="002B51D5" w:rsidRPr="003F1404">
        <w:rPr>
          <w:rFonts w:cs="Times New Roman"/>
          <w:szCs w:val="24"/>
        </w:rPr>
        <w:t xml:space="preserve"> of </w:t>
      </w:r>
      <w:r w:rsidR="00F24A00" w:rsidRPr="003F1404">
        <w:rPr>
          <w:rFonts w:cs="Times New Roman"/>
          <w:szCs w:val="24"/>
        </w:rPr>
        <w:t>monetary</w:t>
      </w:r>
      <w:r w:rsidR="002B51D5" w:rsidRPr="003F1404">
        <w:rPr>
          <w:rFonts w:cs="Times New Roman"/>
          <w:szCs w:val="24"/>
        </w:rPr>
        <w:t xml:space="preserve"> statements to have an understandable and </w:t>
      </w:r>
      <w:r w:rsidR="00F24A00" w:rsidRPr="003F1404">
        <w:rPr>
          <w:rFonts w:cs="Times New Roman"/>
          <w:szCs w:val="24"/>
        </w:rPr>
        <w:t>comprehensive</w:t>
      </w:r>
      <w:r w:rsidR="002B51D5" w:rsidRPr="003F1404">
        <w:rPr>
          <w:rFonts w:cs="Times New Roman"/>
          <w:szCs w:val="24"/>
        </w:rPr>
        <w:t xml:space="preserve"> view of a firm’s </w:t>
      </w:r>
      <w:r w:rsidR="00F24A00" w:rsidRPr="003F1404">
        <w:rPr>
          <w:rFonts w:cs="Times New Roman"/>
          <w:szCs w:val="24"/>
        </w:rPr>
        <w:t>letting</w:t>
      </w:r>
      <w:r w:rsidR="002B51D5" w:rsidRPr="003F1404">
        <w:rPr>
          <w:rFonts w:cs="Times New Roman"/>
          <w:szCs w:val="24"/>
        </w:rPr>
        <w:t xml:space="preserve"> actions (FASB,2016</w:t>
      </w:r>
      <w:r w:rsidR="00F9095E" w:rsidRPr="003F1404">
        <w:rPr>
          <w:rFonts w:cs="Times New Roman"/>
          <w:szCs w:val="24"/>
        </w:rPr>
        <w:t xml:space="preserve">). a </w:t>
      </w:r>
      <w:r w:rsidR="00F24A00" w:rsidRPr="003F1404">
        <w:rPr>
          <w:rFonts w:cs="Times New Roman"/>
          <w:szCs w:val="24"/>
        </w:rPr>
        <w:t>let</w:t>
      </w:r>
      <w:r w:rsidR="00980E7A" w:rsidRPr="003F1404">
        <w:rPr>
          <w:rFonts w:cs="Times New Roman"/>
          <w:szCs w:val="24"/>
        </w:rPr>
        <w:t xml:space="preserve"> is a contract </w:t>
      </w:r>
      <w:r w:rsidR="00F9095E" w:rsidRPr="003F1404">
        <w:rPr>
          <w:rFonts w:cs="Times New Roman"/>
          <w:szCs w:val="24"/>
        </w:rPr>
        <w:t>between the</w:t>
      </w:r>
      <w:r w:rsidR="00980E7A" w:rsidRPr="003F1404">
        <w:rPr>
          <w:rFonts w:cs="Times New Roman"/>
          <w:szCs w:val="24"/>
        </w:rPr>
        <w:t xml:space="preserve"> </w:t>
      </w:r>
      <w:r w:rsidR="00F24A00" w:rsidRPr="003F1404">
        <w:rPr>
          <w:rFonts w:cs="Times New Roman"/>
          <w:szCs w:val="24"/>
        </w:rPr>
        <w:t xml:space="preserve">lessor </w:t>
      </w:r>
      <w:r w:rsidR="00980E7A" w:rsidRPr="003F1404">
        <w:rPr>
          <w:rFonts w:cs="Times New Roman"/>
          <w:szCs w:val="24"/>
        </w:rPr>
        <w:t xml:space="preserve">and the </w:t>
      </w:r>
      <w:r w:rsidR="00F24A00" w:rsidRPr="003F1404">
        <w:rPr>
          <w:rFonts w:cs="Times New Roman"/>
          <w:szCs w:val="24"/>
        </w:rPr>
        <w:t>lessee</w:t>
      </w:r>
      <w:r w:rsidR="00980E7A" w:rsidRPr="003F1404">
        <w:rPr>
          <w:rFonts w:cs="Times New Roman"/>
          <w:szCs w:val="24"/>
        </w:rPr>
        <w:t xml:space="preserve"> whereby the </w:t>
      </w:r>
      <w:r w:rsidR="00F24A00" w:rsidRPr="003F1404">
        <w:rPr>
          <w:rFonts w:cs="Times New Roman"/>
          <w:szCs w:val="24"/>
        </w:rPr>
        <w:t>proprietor</w:t>
      </w:r>
      <w:r w:rsidR="00980E7A" w:rsidRPr="003F1404">
        <w:rPr>
          <w:rFonts w:cs="Times New Roman"/>
          <w:szCs w:val="24"/>
        </w:rPr>
        <w:t xml:space="preserve"> of an asset </w:t>
      </w:r>
      <w:r w:rsidR="00F24A00" w:rsidRPr="003F1404">
        <w:rPr>
          <w:rFonts w:cs="Times New Roman"/>
          <w:szCs w:val="24"/>
        </w:rPr>
        <w:t>gains</w:t>
      </w:r>
      <w:r w:rsidR="00980E7A" w:rsidRPr="003F1404">
        <w:rPr>
          <w:rFonts w:cs="Times New Roman"/>
          <w:szCs w:val="24"/>
        </w:rPr>
        <w:t xml:space="preserve"> the right to utilize the assets in exchange for intermittent payment. </w:t>
      </w:r>
      <w:r w:rsidR="00F24A00" w:rsidRPr="003F1404">
        <w:rPr>
          <w:rFonts w:cs="Times New Roman"/>
          <w:szCs w:val="24"/>
        </w:rPr>
        <w:t>Computing</w:t>
      </w:r>
      <w:r w:rsidR="00980E7A" w:rsidRPr="003F1404">
        <w:rPr>
          <w:rFonts w:cs="Times New Roman"/>
          <w:szCs w:val="24"/>
        </w:rPr>
        <w:t xml:space="preserve"> for </w:t>
      </w:r>
      <w:r w:rsidR="00F24A00" w:rsidRPr="003F1404">
        <w:rPr>
          <w:rFonts w:cs="Times New Roman"/>
          <w:szCs w:val="24"/>
        </w:rPr>
        <w:t>lets</w:t>
      </w:r>
      <w:r w:rsidR="00980E7A" w:rsidRPr="003F1404">
        <w:rPr>
          <w:rFonts w:cs="Times New Roman"/>
          <w:szCs w:val="24"/>
        </w:rPr>
        <w:t xml:space="preserve"> has been debatable since the expansion of U.S accounting values. Disagreements posed by this </w:t>
      </w:r>
      <w:r w:rsidR="00F9095E" w:rsidRPr="003F1404">
        <w:rPr>
          <w:rFonts w:cs="Times New Roman"/>
          <w:szCs w:val="24"/>
        </w:rPr>
        <w:t>subject, the</w:t>
      </w:r>
      <w:r w:rsidR="00980E7A" w:rsidRPr="003F1404">
        <w:rPr>
          <w:rFonts w:cs="Times New Roman"/>
          <w:szCs w:val="24"/>
        </w:rPr>
        <w:t xml:space="preserve"> international accounting standards boards (IASB) and financial accounting standards board (FASB) have decided to address the </w:t>
      </w:r>
      <w:r w:rsidR="00F9095E" w:rsidRPr="003F1404">
        <w:rPr>
          <w:rFonts w:cs="Times New Roman"/>
          <w:szCs w:val="24"/>
        </w:rPr>
        <w:t>debate. For</w:t>
      </w:r>
      <w:r w:rsidR="000513EF" w:rsidRPr="003F1404">
        <w:rPr>
          <w:rFonts w:cs="Times New Roman"/>
          <w:szCs w:val="24"/>
        </w:rPr>
        <w:t xml:space="preserve"> several years America has </w:t>
      </w:r>
      <w:r w:rsidR="003F1404" w:rsidRPr="003F1404">
        <w:rPr>
          <w:rFonts w:cs="Times New Roman"/>
          <w:szCs w:val="24"/>
        </w:rPr>
        <w:t>utilized GAAP</w:t>
      </w:r>
      <w:r w:rsidR="000513EF" w:rsidRPr="003F1404">
        <w:rPr>
          <w:rFonts w:cs="Times New Roman"/>
          <w:szCs w:val="24"/>
        </w:rPr>
        <w:t xml:space="preserve"> regulated and created by the FASB.other parts of the globe operate the IFRS held and assembled by the IASB. The distinction between the two standards is not limited to accounting for pension </w:t>
      </w:r>
      <w:r w:rsidR="00F9095E" w:rsidRPr="003F1404">
        <w:rPr>
          <w:rFonts w:cs="Times New Roman"/>
          <w:szCs w:val="24"/>
        </w:rPr>
        <w:t>planning, income</w:t>
      </w:r>
      <w:r w:rsidR="000513EF" w:rsidRPr="003F1404">
        <w:rPr>
          <w:rFonts w:cs="Times New Roman"/>
          <w:szCs w:val="24"/>
        </w:rPr>
        <w:t xml:space="preserve"> </w:t>
      </w:r>
      <w:r w:rsidR="00F9095E" w:rsidRPr="003F1404">
        <w:rPr>
          <w:rFonts w:cs="Times New Roman"/>
          <w:szCs w:val="24"/>
        </w:rPr>
        <w:t>taxes, leases, inventory</w:t>
      </w:r>
      <w:r w:rsidR="000513EF" w:rsidRPr="003F1404">
        <w:rPr>
          <w:rFonts w:cs="Times New Roman"/>
          <w:szCs w:val="24"/>
        </w:rPr>
        <w:t xml:space="preserve">, and revenue </w:t>
      </w:r>
      <w:r w:rsidR="00F9095E" w:rsidRPr="003F1404">
        <w:rPr>
          <w:rFonts w:cs="Times New Roman"/>
          <w:szCs w:val="24"/>
        </w:rPr>
        <w:t>recognition. Due</w:t>
      </w:r>
      <w:r w:rsidR="000513EF" w:rsidRPr="003F1404">
        <w:rPr>
          <w:rFonts w:cs="Times New Roman"/>
          <w:szCs w:val="24"/>
        </w:rPr>
        <w:t xml:space="preserve"> to the difference in </w:t>
      </w:r>
      <w:r w:rsidR="00F9095E" w:rsidRPr="003F1404">
        <w:rPr>
          <w:rFonts w:cs="Times New Roman"/>
          <w:szCs w:val="24"/>
        </w:rPr>
        <w:t>accounting</w:t>
      </w:r>
      <w:r w:rsidR="000513EF" w:rsidRPr="003F1404">
        <w:rPr>
          <w:rFonts w:cs="Times New Roman"/>
          <w:szCs w:val="24"/>
        </w:rPr>
        <w:t xml:space="preserve">, converging and </w:t>
      </w:r>
      <w:r w:rsidR="00F9095E" w:rsidRPr="003F1404">
        <w:rPr>
          <w:rFonts w:cs="Times New Roman"/>
          <w:szCs w:val="24"/>
        </w:rPr>
        <w:t>standardiz</w:t>
      </w:r>
      <w:r w:rsidR="000513EF" w:rsidRPr="003F1404">
        <w:rPr>
          <w:rFonts w:cs="Times New Roman"/>
          <w:szCs w:val="24"/>
        </w:rPr>
        <w:t>ing regulation has been an important topic</w:t>
      </w:r>
      <w:r w:rsidRPr="003F1404">
        <w:rPr>
          <w:rFonts w:cs="Times New Roman"/>
          <w:szCs w:val="24"/>
        </w:rPr>
        <w:t>.</w:t>
      </w:r>
    </w:p>
    <w:p w14:paraId="63E31E6C" w14:textId="6057A774" w:rsidR="001B5B54" w:rsidRPr="003F1404" w:rsidRDefault="00DA4EFA" w:rsidP="00090708">
      <w:pPr>
        <w:ind w:firstLine="720"/>
        <w:rPr>
          <w:rFonts w:cs="Times New Roman"/>
          <w:szCs w:val="24"/>
        </w:rPr>
      </w:pPr>
      <w:r w:rsidRPr="003F1404">
        <w:rPr>
          <w:rFonts w:cs="Times New Roman"/>
          <w:szCs w:val="24"/>
        </w:rPr>
        <w:lastRenderedPageBreak/>
        <w:t xml:space="preserve">A considerable part of the evidence </w:t>
      </w:r>
      <w:r w:rsidR="00F9095E" w:rsidRPr="003F1404">
        <w:rPr>
          <w:rFonts w:cs="Times New Roman"/>
          <w:szCs w:val="24"/>
        </w:rPr>
        <w:t>indicates</w:t>
      </w:r>
      <w:r w:rsidRPr="003F1404">
        <w:rPr>
          <w:rFonts w:cs="Times New Roman"/>
          <w:szCs w:val="24"/>
        </w:rPr>
        <w:t xml:space="preserve"> that the U.S GAAP </w:t>
      </w:r>
      <w:r w:rsidR="00371FC2" w:rsidRPr="003F1404">
        <w:rPr>
          <w:rFonts w:cs="Times New Roman"/>
          <w:szCs w:val="24"/>
        </w:rPr>
        <w:t>and</w:t>
      </w:r>
      <w:r w:rsidRPr="003F1404">
        <w:rPr>
          <w:rFonts w:cs="Times New Roman"/>
          <w:szCs w:val="24"/>
        </w:rPr>
        <w:t xml:space="preserve"> IFRS</w:t>
      </w:r>
      <w:r w:rsidR="00371FC2" w:rsidRPr="003F1404">
        <w:rPr>
          <w:rFonts w:cs="Times New Roman"/>
          <w:szCs w:val="24"/>
        </w:rPr>
        <w:t xml:space="preserve"> groups should join</w:t>
      </w:r>
      <w:r w:rsidRPr="003F1404">
        <w:rPr>
          <w:rFonts w:cs="Times New Roman"/>
          <w:szCs w:val="24"/>
        </w:rPr>
        <w:t xml:space="preserve"> the universal accounting </w:t>
      </w:r>
      <w:r w:rsidR="00F9095E" w:rsidRPr="003F1404">
        <w:rPr>
          <w:rFonts w:cs="Times New Roman"/>
          <w:szCs w:val="24"/>
        </w:rPr>
        <w:t>standards. This</w:t>
      </w:r>
      <w:r w:rsidRPr="003F1404">
        <w:rPr>
          <w:rFonts w:cs="Times New Roman"/>
          <w:szCs w:val="24"/>
        </w:rPr>
        <w:t xml:space="preserve"> argument is </w:t>
      </w:r>
      <w:r w:rsidR="00371FC2" w:rsidRPr="003F1404">
        <w:rPr>
          <w:rFonts w:cs="Times New Roman"/>
          <w:szCs w:val="24"/>
        </w:rPr>
        <w:t>because of the</w:t>
      </w:r>
      <w:r w:rsidRPr="003F1404">
        <w:rPr>
          <w:rFonts w:cs="Times New Roman"/>
          <w:szCs w:val="24"/>
        </w:rPr>
        <w:t xml:space="preserve"> increased </w:t>
      </w:r>
      <w:r w:rsidR="00371FC2" w:rsidRPr="003F1404">
        <w:rPr>
          <w:rFonts w:cs="Times New Roman"/>
          <w:szCs w:val="24"/>
        </w:rPr>
        <w:t>admiration</w:t>
      </w:r>
      <w:r w:rsidRPr="003F1404">
        <w:rPr>
          <w:rFonts w:cs="Times New Roman"/>
          <w:szCs w:val="24"/>
        </w:rPr>
        <w:t xml:space="preserve"> of the </w:t>
      </w:r>
      <w:r w:rsidR="00371FC2" w:rsidRPr="003F1404">
        <w:rPr>
          <w:rFonts w:cs="Times New Roman"/>
          <w:szCs w:val="24"/>
        </w:rPr>
        <w:t xml:space="preserve">international financial reporting standards </w:t>
      </w:r>
      <w:r w:rsidRPr="003F1404">
        <w:rPr>
          <w:rFonts w:cs="Times New Roman"/>
          <w:szCs w:val="24"/>
        </w:rPr>
        <w:t xml:space="preserve">in the worldwide </w:t>
      </w:r>
      <w:r w:rsidR="00371FC2" w:rsidRPr="003F1404">
        <w:rPr>
          <w:rFonts w:cs="Times New Roman"/>
          <w:szCs w:val="24"/>
        </w:rPr>
        <w:t>market</w:t>
      </w:r>
      <w:r w:rsidR="00F9095E" w:rsidRPr="003F1404">
        <w:rPr>
          <w:rFonts w:cs="Times New Roman"/>
          <w:szCs w:val="24"/>
        </w:rPr>
        <w:t>. America</w:t>
      </w:r>
      <w:r w:rsidRPr="003F1404">
        <w:rPr>
          <w:rFonts w:cs="Times New Roman"/>
          <w:szCs w:val="24"/>
        </w:rPr>
        <w:t xml:space="preserve"> is </w:t>
      </w:r>
      <w:r w:rsidR="00371FC2" w:rsidRPr="003F1404">
        <w:rPr>
          <w:rFonts w:cs="Times New Roman"/>
          <w:szCs w:val="24"/>
        </w:rPr>
        <w:t>unwilling</w:t>
      </w:r>
      <w:r w:rsidR="00F9095E" w:rsidRPr="003F1404">
        <w:rPr>
          <w:rFonts w:cs="Times New Roman"/>
          <w:szCs w:val="24"/>
        </w:rPr>
        <w:t xml:space="preserve"> to</w:t>
      </w:r>
      <w:r w:rsidRPr="003F1404">
        <w:rPr>
          <w:rFonts w:cs="Times New Roman"/>
          <w:szCs w:val="24"/>
        </w:rPr>
        <w:t xml:space="preserve"> </w:t>
      </w:r>
      <w:r w:rsidR="00F9095E" w:rsidRPr="003F1404">
        <w:rPr>
          <w:rFonts w:cs="Times New Roman"/>
          <w:szCs w:val="24"/>
        </w:rPr>
        <w:t>leave the</w:t>
      </w:r>
      <w:r w:rsidRPr="003F1404">
        <w:rPr>
          <w:rFonts w:cs="Times New Roman"/>
          <w:szCs w:val="24"/>
        </w:rPr>
        <w:t xml:space="preserve"> </w:t>
      </w:r>
      <w:r w:rsidR="00371FC2" w:rsidRPr="003F1404">
        <w:rPr>
          <w:rFonts w:cs="Times New Roman"/>
          <w:szCs w:val="24"/>
        </w:rPr>
        <w:t>generally accepted accounting principles</w:t>
      </w:r>
      <w:r w:rsidRPr="003F1404">
        <w:rPr>
          <w:rFonts w:cs="Times New Roman"/>
          <w:szCs w:val="24"/>
        </w:rPr>
        <w:t xml:space="preserve"> due to its </w:t>
      </w:r>
      <w:r w:rsidR="00371FC2" w:rsidRPr="003F1404">
        <w:rPr>
          <w:rFonts w:cs="Times New Roman"/>
          <w:szCs w:val="24"/>
        </w:rPr>
        <w:t>typical</w:t>
      </w:r>
      <w:r w:rsidRPr="003F1404">
        <w:rPr>
          <w:rFonts w:cs="Times New Roman"/>
          <w:szCs w:val="24"/>
        </w:rPr>
        <w:t xml:space="preserve"> reputation of excellence accounting</w:t>
      </w:r>
      <w:r w:rsidR="00C2679C" w:rsidRPr="003F1404">
        <w:rPr>
          <w:rFonts w:cs="Times New Roman"/>
          <w:szCs w:val="24"/>
        </w:rPr>
        <w:t xml:space="preserve"> “</w:t>
      </w:r>
      <w:r w:rsidR="00C2679C" w:rsidRPr="003F1404">
        <w:rPr>
          <w:rFonts w:cs="Times New Roman"/>
          <w:i/>
          <w:iCs/>
          <w:szCs w:val="24"/>
        </w:rPr>
        <w:t xml:space="preserve">until the board amends existing </w:t>
      </w:r>
      <w:r w:rsidR="00F9095E" w:rsidRPr="003F1404">
        <w:rPr>
          <w:rFonts w:cs="Times New Roman"/>
          <w:i/>
          <w:iCs/>
          <w:szCs w:val="24"/>
        </w:rPr>
        <w:t>standards, the</w:t>
      </w:r>
      <w:r w:rsidR="00C2679C" w:rsidRPr="003F1404">
        <w:rPr>
          <w:rFonts w:cs="Times New Roman"/>
          <w:i/>
          <w:iCs/>
          <w:szCs w:val="24"/>
        </w:rPr>
        <w:t xml:space="preserve"> board expects the practice to be governed by the accounting principles embodied in the four levels of the hierarchy (GAAP</w:t>
      </w:r>
      <w:r w:rsidR="00C2679C" w:rsidRPr="003F1404">
        <w:rPr>
          <w:rFonts w:cs="Times New Roman"/>
          <w:szCs w:val="24"/>
        </w:rPr>
        <w:t>)” (FASB,</w:t>
      </w:r>
      <w:r w:rsidR="00F9095E" w:rsidRPr="003F1404">
        <w:rPr>
          <w:rFonts w:cs="Times New Roman"/>
          <w:szCs w:val="24"/>
        </w:rPr>
        <w:t>2015. p.</w:t>
      </w:r>
      <w:r w:rsidR="00C2679C" w:rsidRPr="003F1404">
        <w:rPr>
          <w:rFonts w:cs="Times New Roman"/>
          <w:szCs w:val="24"/>
        </w:rPr>
        <w:t>6).</w:t>
      </w:r>
      <w:r w:rsidRPr="003F1404">
        <w:rPr>
          <w:rFonts w:cs="Times New Roman"/>
          <w:szCs w:val="24"/>
        </w:rPr>
        <w:t xml:space="preserve"> </w:t>
      </w:r>
      <w:r w:rsidR="00C2679C" w:rsidRPr="003F1404">
        <w:rPr>
          <w:rFonts w:cs="Times New Roman"/>
          <w:szCs w:val="24"/>
        </w:rPr>
        <w:t xml:space="preserve">when determining the good standards for the </w:t>
      </w:r>
      <w:r w:rsidR="00371FC2" w:rsidRPr="003F1404">
        <w:rPr>
          <w:rFonts w:cs="Times New Roman"/>
          <w:szCs w:val="24"/>
        </w:rPr>
        <w:t>worthy</w:t>
      </w:r>
      <w:r w:rsidR="00C2679C" w:rsidRPr="003F1404">
        <w:rPr>
          <w:rFonts w:cs="Times New Roman"/>
          <w:szCs w:val="24"/>
        </w:rPr>
        <w:t xml:space="preserve"> statements, </w:t>
      </w:r>
      <w:r w:rsidR="00371FC2" w:rsidRPr="003F1404">
        <w:rPr>
          <w:rFonts w:cs="Times New Roman"/>
          <w:szCs w:val="24"/>
        </w:rPr>
        <w:t>monetary</w:t>
      </w:r>
      <w:r w:rsidR="00C2679C" w:rsidRPr="003F1404">
        <w:rPr>
          <w:rFonts w:cs="Times New Roman"/>
          <w:szCs w:val="24"/>
        </w:rPr>
        <w:t xml:space="preserve"> </w:t>
      </w:r>
      <w:r w:rsidR="00371FC2" w:rsidRPr="003F1404">
        <w:rPr>
          <w:rFonts w:cs="Times New Roman"/>
          <w:szCs w:val="24"/>
        </w:rPr>
        <w:t>specialists</w:t>
      </w:r>
      <w:r w:rsidR="00C2679C" w:rsidRPr="003F1404">
        <w:rPr>
          <w:rFonts w:cs="Times New Roman"/>
          <w:szCs w:val="24"/>
        </w:rPr>
        <w:t xml:space="preserve"> </w:t>
      </w:r>
      <w:r w:rsidR="00174E88" w:rsidRPr="003F1404">
        <w:rPr>
          <w:rFonts w:cs="Times New Roman"/>
          <w:szCs w:val="24"/>
        </w:rPr>
        <w:t>contend</w:t>
      </w:r>
      <w:r w:rsidR="00C2679C" w:rsidRPr="003F1404">
        <w:rPr>
          <w:rFonts w:cs="Times New Roman"/>
          <w:szCs w:val="24"/>
        </w:rPr>
        <w:t xml:space="preserve"> the distinction between </w:t>
      </w:r>
      <w:r w:rsidR="00F9095E" w:rsidRPr="003F1404">
        <w:rPr>
          <w:rFonts w:cs="Times New Roman"/>
          <w:szCs w:val="24"/>
        </w:rPr>
        <w:t>rules-based</w:t>
      </w:r>
      <w:r w:rsidR="00C2679C" w:rsidRPr="003F1404">
        <w:rPr>
          <w:rFonts w:cs="Times New Roman"/>
          <w:szCs w:val="24"/>
        </w:rPr>
        <w:t xml:space="preserve"> accounting and </w:t>
      </w:r>
      <w:r w:rsidR="00F9095E" w:rsidRPr="003F1404">
        <w:rPr>
          <w:rFonts w:cs="Times New Roman"/>
          <w:szCs w:val="24"/>
        </w:rPr>
        <w:t>principle-based</w:t>
      </w:r>
      <w:r w:rsidR="00C2679C" w:rsidRPr="003F1404">
        <w:rPr>
          <w:rFonts w:cs="Times New Roman"/>
          <w:szCs w:val="24"/>
        </w:rPr>
        <w:t xml:space="preserve"> </w:t>
      </w:r>
      <w:r w:rsidR="00F9095E" w:rsidRPr="003F1404">
        <w:rPr>
          <w:rFonts w:cs="Times New Roman"/>
          <w:szCs w:val="24"/>
        </w:rPr>
        <w:t>accounting. The</w:t>
      </w:r>
      <w:r w:rsidR="00C2679C" w:rsidRPr="003F1404">
        <w:rPr>
          <w:rFonts w:cs="Times New Roman"/>
          <w:szCs w:val="24"/>
        </w:rPr>
        <w:t xml:space="preserve"> GAAP </w:t>
      </w:r>
      <w:r w:rsidR="00F9095E" w:rsidRPr="003F1404">
        <w:rPr>
          <w:rFonts w:cs="Times New Roman"/>
          <w:szCs w:val="24"/>
        </w:rPr>
        <w:t>adheres</w:t>
      </w:r>
      <w:r w:rsidR="00C2679C" w:rsidRPr="003F1404">
        <w:rPr>
          <w:rFonts w:cs="Times New Roman"/>
          <w:szCs w:val="24"/>
        </w:rPr>
        <w:t xml:space="preserve"> to a strict </w:t>
      </w:r>
      <w:r w:rsidR="00F9095E" w:rsidRPr="003F1404">
        <w:rPr>
          <w:rFonts w:cs="Times New Roman"/>
          <w:szCs w:val="24"/>
        </w:rPr>
        <w:t>rules-based</w:t>
      </w:r>
      <w:r w:rsidR="00C2679C" w:rsidRPr="003F1404">
        <w:rPr>
          <w:rFonts w:cs="Times New Roman"/>
          <w:szCs w:val="24"/>
        </w:rPr>
        <w:t xml:space="preserve"> approach, while the IFRS flows a </w:t>
      </w:r>
      <w:r w:rsidR="00F9095E" w:rsidRPr="003F1404">
        <w:rPr>
          <w:rFonts w:cs="Times New Roman"/>
          <w:szCs w:val="24"/>
        </w:rPr>
        <w:t>principle-based</w:t>
      </w:r>
      <w:r w:rsidR="00C2679C" w:rsidRPr="003F1404">
        <w:rPr>
          <w:rFonts w:cs="Times New Roman"/>
          <w:szCs w:val="24"/>
        </w:rPr>
        <w:t xml:space="preserve"> system. The </w:t>
      </w:r>
      <w:r w:rsidR="00F9095E" w:rsidRPr="003F1404">
        <w:rPr>
          <w:rFonts w:cs="Times New Roman"/>
          <w:szCs w:val="24"/>
        </w:rPr>
        <w:t>code-based</w:t>
      </w:r>
      <w:r w:rsidR="00C2679C" w:rsidRPr="003F1404">
        <w:rPr>
          <w:rFonts w:cs="Times New Roman"/>
          <w:szCs w:val="24"/>
        </w:rPr>
        <w:t xml:space="preserve"> method has insinuations for people's interpretation and opinions since the </w:t>
      </w:r>
      <w:r w:rsidR="00D472C4" w:rsidRPr="003F1404">
        <w:rPr>
          <w:rFonts w:cs="Times New Roman"/>
          <w:szCs w:val="24"/>
        </w:rPr>
        <w:t>rules</w:t>
      </w:r>
      <w:r w:rsidR="00C2679C" w:rsidRPr="003F1404">
        <w:rPr>
          <w:rFonts w:cs="Times New Roman"/>
          <w:szCs w:val="24"/>
        </w:rPr>
        <w:t xml:space="preserve"> are </w:t>
      </w:r>
      <w:r w:rsidR="00D472C4" w:rsidRPr="003F1404">
        <w:rPr>
          <w:rFonts w:cs="Times New Roman"/>
          <w:szCs w:val="24"/>
        </w:rPr>
        <w:t>founded</w:t>
      </w:r>
      <w:r w:rsidR="00C2679C" w:rsidRPr="003F1404">
        <w:rPr>
          <w:rFonts w:cs="Times New Roman"/>
          <w:szCs w:val="24"/>
        </w:rPr>
        <w:t xml:space="preserve"> on accounting code and not stringent regulations.</w:t>
      </w:r>
    </w:p>
    <w:p w14:paraId="3CD52AE3" w14:textId="2C466D2A" w:rsidR="001B5B54" w:rsidRPr="003F1404" w:rsidRDefault="00DA4EFA" w:rsidP="00645ADE">
      <w:pPr>
        <w:rPr>
          <w:rFonts w:cs="Times New Roman"/>
          <w:szCs w:val="24"/>
        </w:rPr>
      </w:pPr>
      <w:r w:rsidRPr="003F1404">
        <w:rPr>
          <w:rFonts w:cs="Times New Roman"/>
          <w:szCs w:val="24"/>
        </w:rPr>
        <w:tab/>
        <w:t xml:space="preserve">In contrast to this argument, when </w:t>
      </w:r>
      <w:r w:rsidR="00F9095E" w:rsidRPr="003F1404">
        <w:rPr>
          <w:rFonts w:cs="Times New Roman"/>
          <w:szCs w:val="24"/>
        </w:rPr>
        <w:t xml:space="preserve">choosing </w:t>
      </w:r>
      <w:r w:rsidR="006203BC" w:rsidRPr="003F1404">
        <w:rPr>
          <w:rFonts w:cs="Times New Roman"/>
          <w:szCs w:val="24"/>
        </w:rPr>
        <w:t xml:space="preserve">a </w:t>
      </w:r>
      <w:r w:rsidR="00F9095E" w:rsidRPr="003F1404">
        <w:rPr>
          <w:rFonts w:cs="Times New Roman"/>
          <w:szCs w:val="24"/>
        </w:rPr>
        <w:t>rule-based</w:t>
      </w:r>
      <w:r w:rsidR="006203BC" w:rsidRPr="003F1404">
        <w:rPr>
          <w:rFonts w:cs="Times New Roman"/>
          <w:szCs w:val="24"/>
        </w:rPr>
        <w:t xml:space="preserve"> approach, there is a limited platform for personal changes, and interpretations and opinions must be as par how the reporting standard </w:t>
      </w:r>
      <w:r w:rsidR="00F9095E" w:rsidRPr="003F1404">
        <w:rPr>
          <w:rFonts w:cs="Times New Roman"/>
          <w:szCs w:val="24"/>
        </w:rPr>
        <w:t>dictates. The</w:t>
      </w:r>
      <w:r w:rsidR="006203BC" w:rsidRPr="003F1404">
        <w:rPr>
          <w:rFonts w:cs="Times New Roman"/>
          <w:szCs w:val="24"/>
        </w:rPr>
        <w:t xml:space="preserve"> above arguments </w:t>
      </w:r>
      <w:r w:rsidR="00F9095E" w:rsidRPr="003F1404">
        <w:rPr>
          <w:rFonts w:cs="Times New Roman"/>
          <w:szCs w:val="24"/>
        </w:rPr>
        <w:t>form</w:t>
      </w:r>
      <w:r w:rsidR="006203BC" w:rsidRPr="003F1404">
        <w:rPr>
          <w:rFonts w:cs="Times New Roman"/>
          <w:szCs w:val="24"/>
        </w:rPr>
        <w:t xml:space="preserve"> the basis for not switching to IFRS</w:t>
      </w:r>
      <w:r w:rsidR="00F9095E" w:rsidRPr="003F1404">
        <w:rPr>
          <w:rFonts w:cs="Times New Roman"/>
          <w:szCs w:val="24"/>
        </w:rPr>
        <w:t xml:space="preserve"> </w:t>
      </w:r>
      <w:r w:rsidR="006203BC" w:rsidRPr="003F1404">
        <w:rPr>
          <w:rFonts w:cs="Times New Roman"/>
          <w:szCs w:val="24"/>
        </w:rPr>
        <w:t xml:space="preserve">majority </w:t>
      </w:r>
      <w:r w:rsidR="00F9095E" w:rsidRPr="003F1404">
        <w:rPr>
          <w:rFonts w:cs="Times New Roman"/>
          <w:szCs w:val="24"/>
        </w:rPr>
        <w:t>of international</w:t>
      </w:r>
      <w:r w:rsidR="006203BC" w:rsidRPr="003F1404">
        <w:rPr>
          <w:rFonts w:cs="Times New Roman"/>
          <w:szCs w:val="24"/>
        </w:rPr>
        <w:t xml:space="preserve"> firms prefer to sue IFRS because of its </w:t>
      </w:r>
      <w:r w:rsidR="00F9095E" w:rsidRPr="003F1404">
        <w:rPr>
          <w:rFonts w:cs="Times New Roman"/>
          <w:szCs w:val="24"/>
        </w:rPr>
        <w:t>popularity. Such</w:t>
      </w:r>
      <w:r w:rsidR="006203BC" w:rsidRPr="003F1404">
        <w:rPr>
          <w:rFonts w:cs="Times New Roman"/>
          <w:szCs w:val="24"/>
        </w:rPr>
        <w:t xml:space="preserve"> experts settle more </w:t>
      </w:r>
      <w:r w:rsidR="00F9095E" w:rsidRPr="003F1404">
        <w:rPr>
          <w:rFonts w:cs="Times New Roman"/>
          <w:szCs w:val="24"/>
        </w:rPr>
        <w:t>with</w:t>
      </w:r>
      <w:r w:rsidR="006203BC" w:rsidRPr="003F1404">
        <w:rPr>
          <w:rFonts w:cs="Times New Roman"/>
          <w:szCs w:val="24"/>
        </w:rPr>
        <w:t xml:space="preserve"> the standards since t is </w:t>
      </w:r>
      <w:r w:rsidR="00F9095E" w:rsidRPr="003F1404">
        <w:rPr>
          <w:rFonts w:cs="Times New Roman"/>
          <w:szCs w:val="24"/>
        </w:rPr>
        <w:t>believed to</w:t>
      </w:r>
      <w:r w:rsidR="006203BC" w:rsidRPr="003F1404">
        <w:rPr>
          <w:rFonts w:cs="Times New Roman"/>
          <w:szCs w:val="24"/>
        </w:rPr>
        <w:t xml:space="preserve"> prepare financial statements more efficiently and effectively. Although the FASB and IFSR decided to join efforts to address the </w:t>
      </w:r>
      <w:r w:rsidR="00F9095E" w:rsidRPr="003F1404">
        <w:rPr>
          <w:rFonts w:cs="Times New Roman"/>
          <w:szCs w:val="24"/>
        </w:rPr>
        <w:t>debate, they</w:t>
      </w:r>
      <w:r w:rsidR="006203BC" w:rsidRPr="003F1404">
        <w:rPr>
          <w:rFonts w:cs="Times New Roman"/>
          <w:szCs w:val="24"/>
        </w:rPr>
        <w:t xml:space="preserve"> still have </w:t>
      </w:r>
      <w:r w:rsidR="00F9095E" w:rsidRPr="003F1404">
        <w:rPr>
          <w:rFonts w:cs="Times New Roman"/>
          <w:szCs w:val="24"/>
        </w:rPr>
        <w:t xml:space="preserve">differences. </w:t>
      </w:r>
      <w:r w:rsidR="006203BC" w:rsidRPr="003F1404">
        <w:rPr>
          <w:rFonts w:cs="Times New Roman"/>
          <w:szCs w:val="24"/>
        </w:rPr>
        <w:t xml:space="preserve">In 2010, two </w:t>
      </w:r>
      <w:r w:rsidR="00D472C4" w:rsidRPr="003F1404">
        <w:rPr>
          <w:rFonts w:cs="Times New Roman"/>
          <w:szCs w:val="24"/>
        </w:rPr>
        <w:t>panels</w:t>
      </w:r>
      <w:r w:rsidR="006203BC" w:rsidRPr="003F1404">
        <w:rPr>
          <w:rFonts w:cs="Times New Roman"/>
          <w:szCs w:val="24"/>
        </w:rPr>
        <w:t xml:space="preserve"> </w:t>
      </w:r>
      <w:r w:rsidR="00D472C4" w:rsidRPr="003F1404">
        <w:rPr>
          <w:rFonts w:cs="Times New Roman"/>
          <w:szCs w:val="24"/>
        </w:rPr>
        <w:t>delivered</w:t>
      </w:r>
      <w:r w:rsidR="006203BC" w:rsidRPr="003F1404">
        <w:rPr>
          <w:rFonts w:cs="Times New Roman"/>
          <w:szCs w:val="24"/>
        </w:rPr>
        <w:t xml:space="preserve"> </w:t>
      </w:r>
      <w:r w:rsidR="00D472C4" w:rsidRPr="003F1404">
        <w:rPr>
          <w:rFonts w:cs="Times New Roman"/>
          <w:szCs w:val="24"/>
        </w:rPr>
        <w:t>planned</w:t>
      </w:r>
      <w:r w:rsidR="006203BC" w:rsidRPr="003F1404">
        <w:rPr>
          <w:rFonts w:cs="Times New Roman"/>
          <w:szCs w:val="24"/>
        </w:rPr>
        <w:t xml:space="preserve"> accounting standards </w:t>
      </w:r>
      <w:r w:rsidR="00D472C4" w:rsidRPr="003F1404">
        <w:rPr>
          <w:rFonts w:cs="Times New Roman"/>
          <w:szCs w:val="24"/>
        </w:rPr>
        <w:t>apprise</w:t>
      </w:r>
      <w:r w:rsidR="00F9095E" w:rsidRPr="003F1404">
        <w:rPr>
          <w:rFonts w:cs="Times New Roman"/>
          <w:szCs w:val="24"/>
        </w:rPr>
        <w:t xml:space="preserve"> leases</w:t>
      </w:r>
      <w:r w:rsidR="006203BC" w:rsidRPr="003F1404">
        <w:rPr>
          <w:rFonts w:cs="Times New Roman"/>
          <w:szCs w:val="24"/>
        </w:rPr>
        <w:t xml:space="preserve"> (</w:t>
      </w:r>
      <w:r w:rsidR="006203BC" w:rsidRPr="003F1404">
        <w:rPr>
          <w:rFonts w:cs="Times New Roman"/>
          <w:i/>
          <w:iCs/>
          <w:szCs w:val="24"/>
        </w:rPr>
        <w:t>topic 840</w:t>
      </w:r>
      <w:r w:rsidR="006203BC" w:rsidRPr="003F1404">
        <w:rPr>
          <w:rFonts w:cs="Times New Roman"/>
          <w:szCs w:val="24"/>
        </w:rPr>
        <w:t xml:space="preserve">) to </w:t>
      </w:r>
      <w:r w:rsidR="00D472C4" w:rsidRPr="003F1404">
        <w:rPr>
          <w:rFonts w:cs="Times New Roman"/>
          <w:szCs w:val="24"/>
        </w:rPr>
        <w:t>debate</w:t>
      </w:r>
      <w:r w:rsidR="006203BC" w:rsidRPr="003F1404">
        <w:rPr>
          <w:rFonts w:cs="Times New Roman"/>
          <w:szCs w:val="24"/>
        </w:rPr>
        <w:t xml:space="preserve"> the </w:t>
      </w:r>
      <w:r w:rsidR="00F9095E" w:rsidRPr="003F1404">
        <w:rPr>
          <w:rFonts w:cs="Times New Roman"/>
          <w:szCs w:val="24"/>
        </w:rPr>
        <w:t>discussion. However</w:t>
      </w:r>
      <w:r w:rsidR="006203BC" w:rsidRPr="003F1404">
        <w:rPr>
          <w:rFonts w:cs="Times New Roman"/>
          <w:szCs w:val="24"/>
        </w:rPr>
        <w:t xml:space="preserve">, </w:t>
      </w:r>
      <w:r w:rsidR="00F9095E" w:rsidRPr="003F1404">
        <w:rPr>
          <w:rFonts w:cs="Times New Roman"/>
          <w:szCs w:val="24"/>
        </w:rPr>
        <w:t>due</w:t>
      </w:r>
      <w:r w:rsidR="006203BC" w:rsidRPr="003F1404">
        <w:rPr>
          <w:rFonts w:cs="Times New Roman"/>
          <w:szCs w:val="24"/>
        </w:rPr>
        <w:t xml:space="preserve"> to lack of transparency and </w:t>
      </w:r>
      <w:r w:rsidR="00440508" w:rsidRPr="003F1404">
        <w:rPr>
          <w:rFonts w:cs="Times New Roman"/>
          <w:szCs w:val="24"/>
        </w:rPr>
        <w:t xml:space="preserve">consistency, the boards were forced </w:t>
      </w:r>
      <w:r w:rsidR="00F9095E" w:rsidRPr="003F1404">
        <w:rPr>
          <w:rFonts w:cs="Times New Roman"/>
          <w:szCs w:val="24"/>
        </w:rPr>
        <w:t>to</w:t>
      </w:r>
      <w:r w:rsidR="00440508" w:rsidRPr="003F1404">
        <w:rPr>
          <w:rFonts w:cs="Times New Roman"/>
          <w:szCs w:val="24"/>
        </w:rPr>
        <w:t xml:space="preserve"> release another update in May 2013 named </w:t>
      </w:r>
      <w:r w:rsidR="00440508" w:rsidRPr="003F1404">
        <w:rPr>
          <w:rFonts w:cs="Times New Roman"/>
          <w:i/>
          <w:iCs/>
          <w:szCs w:val="24"/>
        </w:rPr>
        <w:t xml:space="preserve">leases (topic 842); </w:t>
      </w:r>
      <w:r w:rsidR="00440508" w:rsidRPr="003F1404">
        <w:rPr>
          <w:rFonts w:cs="Times New Roman"/>
          <w:szCs w:val="24"/>
        </w:rPr>
        <w:t xml:space="preserve">although the update had some new accounting features, the challenges faced </w:t>
      </w:r>
      <w:r w:rsidR="00F9095E" w:rsidRPr="003F1404">
        <w:rPr>
          <w:rFonts w:cs="Times New Roman"/>
          <w:szCs w:val="24"/>
        </w:rPr>
        <w:t>between</w:t>
      </w:r>
      <w:r w:rsidR="00440508" w:rsidRPr="003F1404">
        <w:rPr>
          <w:rFonts w:cs="Times New Roman"/>
          <w:szCs w:val="24"/>
        </w:rPr>
        <w:t xml:space="preserve"> the two boards remained </w:t>
      </w:r>
      <w:r w:rsidR="00F9095E" w:rsidRPr="003F1404">
        <w:rPr>
          <w:rFonts w:cs="Times New Roman"/>
          <w:szCs w:val="24"/>
        </w:rPr>
        <w:t>unsolved. The</w:t>
      </w:r>
      <w:r w:rsidR="00440508" w:rsidRPr="003F1404">
        <w:rPr>
          <w:rFonts w:cs="Times New Roman"/>
          <w:szCs w:val="24"/>
        </w:rPr>
        <w:t xml:space="preserve"> </w:t>
      </w:r>
      <w:r w:rsidR="00D472C4" w:rsidRPr="003F1404">
        <w:rPr>
          <w:rFonts w:cs="Times New Roman"/>
          <w:szCs w:val="24"/>
        </w:rPr>
        <w:t>panels</w:t>
      </w:r>
      <w:r w:rsidR="00440508" w:rsidRPr="003F1404">
        <w:rPr>
          <w:rFonts w:cs="Times New Roman"/>
          <w:szCs w:val="24"/>
        </w:rPr>
        <w:t xml:space="preserve"> also </w:t>
      </w:r>
      <w:r w:rsidR="00D472C4" w:rsidRPr="003F1404">
        <w:rPr>
          <w:rFonts w:cs="Times New Roman"/>
          <w:szCs w:val="24"/>
        </w:rPr>
        <w:t>delivered</w:t>
      </w:r>
      <w:r w:rsidR="00440508" w:rsidRPr="003F1404">
        <w:rPr>
          <w:rFonts w:cs="Times New Roman"/>
          <w:szCs w:val="24"/>
        </w:rPr>
        <w:t xml:space="preserve"> another </w:t>
      </w:r>
      <w:r w:rsidR="00D472C4" w:rsidRPr="003F1404">
        <w:rPr>
          <w:rFonts w:cs="Times New Roman"/>
          <w:szCs w:val="24"/>
        </w:rPr>
        <w:t>planned</w:t>
      </w:r>
      <w:r w:rsidR="00440508" w:rsidRPr="003F1404">
        <w:rPr>
          <w:rFonts w:cs="Times New Roman"/>
          <w:szCs w:val="24"/>
        </w:rPr>
        <w:t xml:space="preserve"> accounting standards update. This paper utilizes a qualitative research method to handle different issues to the proposed changes to the standards and topics concerning the leases.</w:t>
      </w:r>
    </w:p>
    <w:p w14:paraId="15CCFAC4" w14:textId="5E9DC2BD" w:rsidR="00440508" w:rsidRPr="003F1404" w:rsidRDefault="00DA4EFA" w:rsidP="00AB6EBF">
      <w:pPr>
        <w:pStyle w:val="Heading2"/>
        <w:rPr>
          <w:rFonts w:ascii="Times New Roman" w:hAnsi="Times New Roman" w:cs="Times New Roman"/>
          <w:b/>
          <w:bCs/>
          <w:color w:val="auto"/>
          <w:sz w:val="24"/>
          <w:szCs w:val="24"/>
        </w:rPr>
      </w:pPr>
      <w:bookmarkStart w:id="3" w:name="_Toc84784220"/>
      <w:r w:rsidRPr="003F1404">
        <w:rPr>
          <w:rFonts w:ascii="Times New Roman" w:hAnsi="Times New Roman" w:cs="Times New Roman"/>
          <w:b/>
          <w:bCs/>
          <w:color w:val="auto"/>
          <w:sz w:val="24"/>
          <w:szCs w:val="24"/>
        </w:rPr>
        <w:lastRenderedPageBreak/>
        <w:t xml:space="preserve">Purpose Of </w:t>
      </w:r>
      <w:r w:rsidR="00090708" w:rsidRPr="003F1404">
        <w:rPr>
          <w:rFonts w:ascii="Times New Roman" w:hAnsi="Times New Roman" w:cs="Times New Roman"/>
          <w:b/>
          <w:bCs/>
          <w:color w:val="auto"/>
          <w:sz w:val="24"/>
          <w:szCs w:val="24"/>
        </w:rPr>
        <w:t xml:space="preserve">the </w:t>
      </w:r>
      <w:r w:rsidRPr="003F1404">
        <w:rPr>
          <w:rFonts w:ascii="Times New Roman" w:hAnsi="Times New Roman" w:cs="Times New Roman"/>
          <w:b/>
          <w:bCs/>
          <w:color w:val="auto"/>
          <w:sz w:val="24"/>
          <w:szCs w:val="24"/>
        </w:rPr>
        <w:t>Study</w:t>
      </w:r>
      <w:bookmarkEnd w:id="3"/>
      <w:r w:rsidRPr="003F1404">
        <w:rPr>
          <w:rFonts w:ascii="Times New Roman" w:hAnsi="Times New Roman" w:cs="Times New Roman"/>
          <w:b/>
          <w:bCs/>
          <w:color w:val="auto"/>
          <w:sz w:val="24"/>
          <w:szCs w:val="24"/>
        </w:rPr>
        <w:t xml:space="preserve"> </w:t>
      </w:r>
    </w:p>
    <w:p w14:paraId="3B6A34F9" w14:textId="559BFFDB" w:rsidR="00440508" w:rsidRPr="003F1404" w:rsidRDefault="00DA4EFA" w:rsidP="00440508">
      <w:pPr>
        <w:rPr>
          <w:rFonts w:cs="Times New Roman"/>
          <w:szCs w:val="24"/>
        </w:rPr>
      </w:pPr>
      <w:r w:rsidRPr="003F1404">
        <w:rPr>
          <w:rFonts w:cs="Times New Roman"/>
          <w:szCs w:val="24"/>
        </w:rPr>
        <w:tab/>
        <w:t xml:space="preserve">This paper aims at exploring the literature pertaining the accounting for </w:t>
      </w:r>
      <w:r w:rsidR="00F9095E" w:rsidRPr="003F1404">
        <w:rPr>
          <w:rFonts w:cs="Times New Roman"/>
          <w:szCs w:val="24"/>
        </w:rPr>
        <w:t>leases. The</w:t>
      </w:r>
      <w:r w:rsidRPr="003F1404">
        <w:rPr>
          <w:rFonts w:cs="Times New Roman"/>
          <w:szCs w:val="24"/>
        </w:rPr>
        <w:t xml:space="preserve"> other purpose is to analyze the proposed and the current leasing standards under the international financial reporting standards IFRS and the generally accepted accounting principles (GAAP</w:t>
      </w:r>
      <w:r w:rsidR="00F9095E" w:rsidRPr="003F1404">
        <w:rPr>
          <w:rFonts w:cs="Times New Roman"/>
          <w:szCs w:val="24"/>
        </w:rPr>
        <w:t xml:space="preserve">). </w:t>
      </w:r>
      <w:r w:rsidR="00D472C4" w:rsidRPr="003F1404">
        <w:rPr>
          <w:rFonts w:cs="Times New Roman"/>
          <w:szCs w:val="24"/>
        </w:rPr>
        <w:t xml:space="preserve">Although </w:t>
      </w:r>
      <w:r w:rsidR="000C207F" w:rsidRPr="003F1404">
        <w:rPr>
          <w:rFonts w:cs="Times New Roman"/>
          <w:szCs w:val="24"/>
        </w:rPr>
        <w:t xml:space="preserve">the two boards' working </w:t>
      </w:r>
      <w:r w:rsidR="00D472C4" w:rsidRPr="003F1404">
        <w:rPr>
          <w:rFonts w:cs="Times New Roman"/>
          <w:szCs w:val="24"/>
        </w:rPr>
        <w:t>collectively</w:t>
      </w:r>
      <w:r w:rsidR="000C207F" w:rsidRPr="003F1404">
        <w:rPr>
          <w:rFonts w:cs="Times New Roman"/>
          <w:szCs w:val="24"/>
        </w:rPr>
        <w:t xml:space="preserve"> to develop consistent and feasible </w:t>
      </w:r>
      <w:r w:rsidR="00D472C4" w:rsidRPr="003F1404">
        <w:rPr>
          <w:rFonts w:cs="Times New Roman"/>
          <w:szCs w:val="24"/>
        </w:rPr>
        <w:t>values</w:t>
      </w:r>
      <w:r w:rsidR="000C207F" w:rsidRPr="003F1404">
        <w:rPr>
          <w:rFonts w:cs="Times New Roman"/>
          <w:szCs w:val="24"/>
        </w:rPr>
        <w:t xml:space="preserve"> for </w:t>
      </w:r>
      <w:r w:rsidR="00D472C4" w:rsidRPr="003F1404">
        <w:rPr>
          <w:rFonts w:cs="Times New Roman"/>
          <w:szCs w:val="24"/>
        </w:rPr>
        <w:t>reportage</w:t>
      </w:r>
      <w:r w:rsidR="000C207F" w:rsidRPr="003F1404">
        <w:rPr>
          <w:rFonts w:cs="Times New Roman"/>
          <w:szCs w:val="24"/>
        </w:rPr>
        <w:t xml:space="preserve"> </w:t>
      </w:r>
      <w:r w:rsidR="00D472C4" w:rsidRPr="003F1404">
        <w:rPr>
          <w:rFonts w:cs="Times New Roman"/>
          <w:szCs w:val="24"/>
        </w:rPr>
        <w:t xml:space="preserve">of </w:t>
      </w:r>
      <w:r w:rsidR="000C207F" w:rsidRPr="003F1404">
        <w:rPr>
          <w:rFonts w:cs="Times New Roman"/>
          <w:szCs w:val="24"/>
        </w:rPr>
        <w:t xml:space="preserve">leasing activities on </w:t>
      </w:r>
      <w:r w:rsidR="00D472C4" w:rsidRPr="003F1404">
        <w:rPr>
          <w:rFonts w:cs="Times New Roman"/>
          <w:szCs w:val="24"/>
        </w:rPr>
        <w:t>monetary</w:t>
      </w:r>
      <w:r w:rsidR="000C207F" w:rsidRPr="003F1404">
        <w:rPr>
          <w:rFonts w:cs="Times New Roman"/>
          <w:szCs w:val="24"/>
        </w:rPr>
        <w:t xml:space="preserve"> </w:t>
      </w:r>
      <w:r w:rsidR="00F9095E" w:rsidRPr="003F1404">
        <w:rPr>
          <w:rFonts w:cs="Times New Roman"/>
          <w:szCs w:val="24"/>
        </w:rPr>
        <w:t>statements, there</w:t>
      </w:r>
      <w:r w:rsidR="000C207F" w:rsidRPr="003F1404">
        <w:rPr>
          <w:rFonts w:cs="Times New Roman"/>
          <w:szCs w:val="24"/>
        </w:rPr>
        <w:t xml:space="preserve"> is the </w:t>
      </w:r>
      <w:r w:rsidR="00F9095E" w:rsidRPr="003F1404">
        <w:rPr>
          <w:rFonts w:cs="Times New Roman"/>
          <w:szCs w:val="24"/>
        </w:rPr>
        <w:t>existence</w:t>
      </w:r>
      <w:r w:rsidR="000C207F" w:rsidRPr="003F1404">
        <w:rPr>
          <w:rFonts w:cs="Times New Roman"/>
          <w:szCs w:val="24"/>
        </w:rPr>
        <w:t xml:space="preserve"> of controversies on the available leasing </w:t>
      </w:r>
      <w:r w:rsidR="00D472C4" w:rsidRPr="003F1404">
        <w:rPr>
          <w:rFonts w:cs="Times New Roman"/>
          <w:szCs w:val="24"/>
        </w:rPr>
        <w:t>values</w:t>
      </w:r>
      <w:r w:rsidR="00F9095E" w:rsidRPr="003F1404">
        <w:rPr>
          <w:rFonts w:cs="Times New Roman"/>
          <w:szCs w:val="24"/>
        </w:rPr>
        <w:t>. This</w:t>
      </w:r>
      <w:r w:rsidR="000C207F" w:rsidRPr="003F1404">
        <w:rPr>
          <w:rFonts w:cs="Times New Roman"/>
          <w:szCs w:val="24"/>
        </w:rPr>
        <w:t xml:space="preserve"> paper will also contrast and compare the accounting f</w:t>
      </w:r>
      <w:r w:rsidR="00D472C4" w:rsidRPr="003F1404">
        <w:rPr>
          <w:rFonts w:cs="Times New Roman"/>
          <w:szCs w:val="24"/>
        </w:rPr>
        <w:t>o</w:t>
      </w:r>
      <w:r w:rsidR="000C207F" w:rsidRPr="003F1404">
        <w:rPr>
          <w:rFonts w:cs="Times New Roman"/>
          <w:szCs w:val="24"/>
        </w:rPr>
        <w:t xml:space="preserve">r </w:t>
      </w:r>
      <w:r w:rsidR="00D472C4" w:rsidRPr="003F1404">
        <w:rPr>
          <w:rFonts w:cs="Times New Roman"/>
          <w:szCs w:val="24"/>
        </w:rPr>
        <w:t>tenancies</w:t>
      </w:r>
      <w:r w:rsidR="000C207F" w:rsidRPr="003F1404">
        <w:rPr>
          <w:rFonts w:cs="Times New Roman"/>
          <w:szCs w:val="24"/>
        </w:rPr>
        <w:t xml:space="preserve"> under the different </w:t>
      </w:r>
      <w:r w:rsidR="00D472C4" w:rsidRPr="003F1404">
        <w:rPr>
          <w:rFonts w:cs="Times New Roman"/>
          <w:szCs w:val="24"/>
        </w:rPr>
        <w:t xml:space="preserve">groups </w:t>
      </w:r>
      <w:r w:rsidR="000C207F" w:rsidRPr="003F1404">
        <w:rPr>
          <w:rFonts w:cs="Times New Roman"/>
          <w:szCs w:val="24"/>
        </w:rPr>
        <w:t>of criteria.</w:t>
      </w:r>
    </w:p>
    <w:p w14:paraId="2F1C36FA" w14:textId="77777777" w:rsidR="000C207F" w:rsidRPr="003F1404" w:rsidRDefault="00DA4EFA" w:rsidP="00AB6EBF">
      <w:pPr>
        <w:pStyle w:val="Heading1"/>
        <w:jc w:val="center"/>
        <w:rPr>
          <w:rFonts w:ascii="Times New Roman" w:hAnsi="Times New Roman" w:cs="Times New Roman"/>
          <w:b/>
          <w:bCs/>
          <w:color w:val="auto"/>
          <w:sz w:val="24"/>
          <w:szCs w:val="24"/>
        </w:rPr>
      </w:pPr>
      <w:bookmarkStart w:id="4" w:name="_Toc84784221"/>
      <w:r w:rsidRPr="003F1404">
        <w:rPr>
          <w:rFonts w:ascii="Times New Roman" w:hAnsi="Times New Roman" w:cs="Times New Roman"/>
          <w:b/>
          <w:bCs/>
          <w:color w:val="auto"/>
          <w:sz w:val="24"/>
          <w:szCs w:val="24"/>
        </w:rPr>
        <w:t>Revenue Acknowledgement</w:t>
      </w:r>
      <w:bookmarkEnd w:id="4"/>
    </w:p>
    <w:p w14:paraId="3468E711" w14:textId="4A1374A1" w:rsidR="000C207F" w:rsidRPr="003F1404" w:rsidRDefault="00DA4EFA" w:rsidP="00F9095E">
      <w:pPr>
        <w:ind w:firstLine="720"/>
        <w:rPr>
          <w:rFonts w:cs="Times New Roman"/>
          <w:szCs w:val="24"/>
        </w:rPr>
      </w:pPr>
      <w:r w:rsidRPr="003F1404">
        <w:rPr>
          <w:rFonts w:cs="Times New Roman"/>
          <w:szCs w:val="24"/>
        </w:rPr>
        <w:t xml:space="preserve">Reporting revenue is a compulsory transaction that every firm must follow in the </w:t>
      </w:r>
      <w:r w:rsidR="00F9095E" w:rsidRPr="003F1404">
        <w:rPr>
          <w:rFonts w:cs="Times New Roman"/>
          <w:szCs w:val="24"/>
        </w:rPr>
        <w:t>universe. Revenue</w:t>
      </w:r>
      <w:r w:rsidRPr="003F1404">
        <w:rPr>
          <w:rFonts w:cs="Times New Roman"/>
          <w:szCs w:val="24"/>
        </w:rPr>
        <w:t xml:space="preserve"> can be acknowledged as a cash </w:t>
      </w:r>
      <w:r w:rsidR="00F9095E" w:rsidRPr="003F1404">
        <w:rPr>
          <w:rFonts w:cs="Times New Roman"/>
          <w:szCs w:val="24"/>
        </w:rPr>
        <w:t>basis</w:t>
      </w:r>
      <w:r w:rsidRPr="003F1404">
        <w:rPr>
          <w:rFonts w:cs="Times New Roman"/>
          <w:szCs w:val="24"/>
        </w:rPr>
        <w:t xml:space="preserve"> or </w:t>
      </w:r>
      <w:r w:rsidR="00F9095E" w:rsidRPr="003F1404">
        <w:rPr>
          <w:rFonts w:cs="Times New Roman"/>
          <w:szCs w:val="24"/>
        </w:rPr>
        <w:t>accrual</w:t>
      </w:r>
      <w:r w:rsidRPr="003F1404">
        <w:rPr>
          <w:rFonts w:cs="Times New Roman"/>
          <w:szCs w:val="24"/>
        </w:rPr>
        <w:t xml:space="preserve"> basis </w:t>
      </w:r>
      <w:r w:rsidR="00F9095E" w:rsidRPr="003F1404">
        <w:rPr>
          <w:rFonts w:cs="Times New Roman"/>
          <w:szCs w:val="24"/>
        </w:rPr>
        <w:t>in IFRS</w:t>
      </w:r>
      <w:r w:rsidRPr="003F1404">
        <w:rPr>
          <w:rFonts w:cs="Times New Roman"/>
          <w:szCs w:val="24"/>
        </w:rPr>
        <w:t xml:space="preserve"> AND U</w:t>
      </w:r>
      <w:r w:rsidR="00F9095E" w:rsidRPr="003F1404">
        <w:rPr>
          <w:rFonts w:cs="Times New Roman"/>
          <w:szCs w:val="24"/>
        </w:rPr>
        <w:t xml:space="preserve">.S </w:t>
      </w:r>
      <w:r w:rsidRPr="003F1404">
        <w:rPr>
          <w:rFonts w:cs="Times New Roman"/>
          <w:szCs w:val="24"/>
        </w:rPr>
        <w:t>GAAD.</w:t>
      </w:r>
      <w:r w:rsidR="00F9095E" w:rsidRPr="003F1404">
        <w:rPr>
          <w:rFonts w:cs="Times New Roman"/>
          <w:szCs w:val="24"/>
        </w:rPr>
        <w:t xml:space="preserve"> R</w:t>
      </w:r>
      <w:r w:rsidRPr="003F1404">
        <w:rPr>
          <w:rFonts w:cs="Times New Roman"/>
          <w:szCs w:val="24"/>
        </w:rPr>
        <w:t xml:space="preserve">evenue reports include all the assets and earnings completed from collection from different </w:t>
      </w:r>
      <w:r w:rsidR="00F9095E" w:rsidRPr="003F1404">
        <w:rPr>
          <w:rFonts w:cs="Times New Roman"/>
          <w:szCs w:val="24"/>
        </w:rPr>
        <w:t>parties,</w:t>
      </w:r>
      <w:r w:rsidRPr="003F1404">
        <w:rPr>
          <w:rFonts w:cs="Times New Roman"/>
          <w:szCs w:val="24"/>
        </w:rPr>
        <w:t xml:space="preserve"> service sales, and goods sales. Besides, according to the IFRS, the </w:t>
      </w:r>
      <w:r w:rsidRPr="003F1404">
        <w:rPr>
          <w:rFonts w:cs="Times New Roman"/>
          <w:i/>
          <w:iCs/>
          <w:szCs w:val="24"/>
        </w:rPr>
        <w:t xml:space="preserve">“revenue </w:t>
      </w:r>
      <w:r w:rsidR="00F9095E" w:rsidRPr="003F1404">
        <w:rPr>
          <w:rFonts w:cs="Times New Roman"/>
          <w:i/>
          <w:iCs/>
          <w:szCs w:val="24"/>
        </w:rPr>
        <w:t>encompasses</w:t>
      </w:r>
      <w:r w:rsidRPr="003F1404">
        <w:rPr>
          <w:rFonts w:cs="Times New Roman"/>
          <w:i/>
          <w:iCs/>
          <w:szCs w:val="24"/>
        </w:rPr>
        <w:t xml:space="preserve"> only gross inflow of economic benefits received or receivable by the entity on its account"</w:t>
      </w:r>
      <w:r w:rsidRPr="003F1404">
        <w:rPr>
          <w:rFonts w:cs="Times New Roman"/>
          <w:b/>
          <w:bCs/>
          <w:i/>
          <w:iCs/>
          <w:szCs w:val="24"/>
        </w:rPr>
        <w:t xml:space="preserve"> </w:t>
      </w:r>
      <w:r w:rsidRPr="003F1404">
        <w:rPr>
          <w:rFonts w:cs="Times New Roman"/>
          <w:szCs w:val="24"/>
        </w:rPr>
        <w:t>(</w:t>
      </w:r>
      <w:r w:rsidR="006C600E" w:rsidRPr="003F1404">
        <w:rPr>
          <w:rFonts w:cs="Times New Roman"/>
          <w:szCs w:val="24"/>
          <w:shd w:val="clear" w:color="auto" w:fill="FFFFFF"/>
        </w:rPr>
        <w:t>("Appendix II: IFRS - US-GAAP comparison," 2015</w:t>
      </w:r>
      <w:r w:rsidR="00B60ADB" w:rsidRPr="003F1404">
        <w:rPr>
          <w:rFonts w:cs="Times New Roman"/>
          <w:szCs w:val="24"/>
        </w:rPr>
        <w:t>). IFSR</w:t>
      </w:r>
      <w:r w:rsidRPr="003F1404">
        <w:rPr>
          <w:rFonts w:cs="Times New Roman"/>
          <w:szCs w:val="24"/>
        </w:rPr>
        <w:t xml:space="preserve"> and the U.S GAAD have the same </w:t>
      </w:r>
      <w:r w:rsidR="00D472C4" w:rsidRPr="003F1404">
        <w:rPr>
          <w:rFonts w:cs="Times New Roman"/>
          <w:szCs w:val="24"/>
        </w:rPr>
        <w:t>rules</w:t>
      </w:r>
      <w:r w:rsidRPr="003F1404">
        <w:rPr>
          <w:rFonts w:cs="Times New Roman"/>
          <w:szCs w:val="24"/>
        </w:rPr>
        <w:t xml:space="preserve"> for </w:t>
      </w:r>
      <w:r w:rsidR="00D472C4" w:rsidRPr="003F1404">
        <w:rPr>
          <w:rFonts w:cs="Times New Roman"/>
          <w:szCs w:val="24"/>
        </w:rPr>
        <w:t>reportage of</w:t>
      </w:r>
      <w:r w:rsidRPr="003F1404">
        <w:rPr>
          <w:rFonts w:cs="Times New Roman"/>
          <w:szCs w:val="24"/>
        </w:rPr>
        <w:t xml:space="preserve"> income and revenue. The two bords have similar standards as their reporting is based on the complete process of earning.</w:t>
      </w:r>
    </w:p>
    <w:p w14:paraId="3244BAAE" w14:textId="5F0CDC1B" w:rsidR="000D6303" w:rsidRPr="003F1404" w:rsidRDefault="00DA4EFA" w:rsidP="000C207F">
      <w:pPr>
        <w:rPr>
          <w:rFonts w:cs="Times New Roman"/>
          <w:szCs w:val="24"/>
        </w:rPr>
      </w:pPr>
      <w:r w:rsidRPr="003F1404">
        <w:rPr>
          <w:rFonts w:cs="Times New Roman"/>
          <w:szCs w:val="24"/>
        </w:rPr>
        <w:tab/>
        <w:t xml:space="preserve">The acknowledgment of </w:t>
      </w:r>
      <w:r w:rsidR="00B60ADB" w:rsidRPr="003F1404">
        <w:rPr>
          <w:rFonts w:cs="Times New Roman"/>
          <w:szCs w:val="24"/>
        </w:rPr>
        <w:t>income</w:t>
      </w:r>
      <w:r w:rsidRPr="003F1404">
        <w:rPr>
          <w:rFonts w:cs="Times New Roman"/>
          <w:szCs w:val="24"/>
        </w:rPr>
        <w:t xml:space="preserve"> for service is a challenging </w:t>
      </w:r>
      <w:r w:rsidR="00B60ADB" w:rsidRPr="003F1404">
        <w:rPr>
          <w:rFonts w:cs="Times New Roman"/>
          <w:szCs w:val="24"/>
        </w:rPr>
        <w:t>procedure</w:t>
      </w:r>
      <w:r w:rsidRPr="003F1404">
        <w:rPr>
          <w:rFonts w:cs="Times New Roman"/>
          <w:szCs w:val="24"/>
        </w:rPr>
        <w:t xml:space="preserve"> that </w:t>
      </w:r>
      <w:r w:rsidR="00F9095E" w:rsidRPr="003F1404">
        <w:rPr>
          <w:rFonts w:cs="Times New Roman"/>
          <w:szCs w:val="24"/>
        </w:rPr>
        <w:t>includes</w:t>
      </w:r>
      <w:r w:rsidRPr="003F1404">
        <w:rPr>
          <w:rFonts w:cs="Times New Roman"/>
          <w:szCs w:val="24"/>
        </w:rPr>
        <w:t xml:space="preserve"> preparation and </w:t>
      </w:r>
      <w:r w:rsidR="00B60ADB" w:rsidRPr="003F1404">
        <w:rPr>
          <w:rFonts w:cs="Times New Roman"/>
          <w:szCs w:val="24"/>
        </w:rPr>
        <w:t>complicated</w:t>
      </w:r>
      <w:r w:rsidRPr="003F1404">
        <w:rPr>
          <w:rFonts w:cs="Times New Roman"/>
          <w:szCs w:val="24"/>
        </w:rPr>
        <w:t xml:space="preserve"> </w:t>
      </w:r>
      <w:r w:rsidR="00F9095E" w:rsidRPr="003F1404">
        <w:rPr>
          <w:rFonts w:cs="Times New Roman"/>
          <w:szCs w:val="24"/>
        </w:rPr>
        <w:t>timing. Timing</w:t>
      </w:r>
      <w:r w:rsidRPr="003F1404">
        <w:rPr>
          <w:rFonts w:cs="Times New Roman"/>
          <w:szCs w:val="24"/>
        </w:rPr>
        <w:t xml:space="preserve"> is the foundation in service </w:t>
      </w:r>
      <w:r w:rsidR="00B60ADB" w:rsidRPr="003F1404">
        <w:rPr>
          <w:rFonts w:cs="Times New Roman"/>
          <w:szCs w:val="24"/>
        </w:rPr>
        <w:t>income</w:t>
      </w:r>
      <w:r w:rsidRPr="003F1404">
        <w:rPr>
          <w:rFonts w:cs="Times New Roman"/>
          <w:szCs w:val="24"/>
        </w:rPr>
        <w:t xml:space="preserve"> </w:t>
      </w:r>
      <w:r w:rsidR="00B60ADB" w:rsidRPr="003F1404">
        <w:rPr>
          <w:rFonts w:cs="Times New Roman"/>
          <w:szCs w:val="24"/>
        </w:rPr>
        <w:t>gratitude</w:t>
      </w:r>
      <w:r w:rsidRPr="003F1404">
        <w:rPr>
          <w:rFonts w:cs="Times New Roman"/>
          <w:szCs w:val="24"/>
        </w:rPr>
        <w:t xml:space="preserve"> due to</w:t>
      </w:r>
      <w:r w:rsidR="004D6ED5" w:rsidRPr="003F1404">
        <w:rPr>
          <w:rFonts w:cs="Times New Roman"/>
          <w:szCs w:val="24"/>
        </w:rPr>
        <w:t xml:space="preserve"> different lengths of </w:t>
      </w:r>
      <w:r w:rsidR="00F9095E" w:rsidRPr="003F1404">
        <w:rPr>
          <w:rFonts w:cs="Times New Roman"/>
          <w:szCs w:val="24"/>
        </w:rPr>
        <w:t>service. The</w:t>
      </w:r>
      <w:r w:rsidR="004D6ED5" w:rsidRPr="003F1404">
        <w:rPr>
          <w:rFonts w:cs="Times New Roman"/>
          <w:szCs w:val="24"/>
        </w:rPr>
        <w:t xml:space="preserve"> U.S GAAD uses three essential methods to acknowledge service revenue: accomplished performance, relative, and individual performance</w:t>
      </w:r>
      <w:r w:rsidR="00F9095E" w:rsidRPr="003F1404">
        <w:rPr>
          <w:rFonts w:cs="Times New Roman"/>
          <w:szCs w:val="24"/>
        </w:rPr>
        <w:t>. Contrary</w:t>
      </w:r>
      <w:r w:rsidR="004D6ED5" w:rsidRPr="003F1404">
        <w:rPr>
          <w:rFonts w:cs="Times New Roman"/>
          <w:szCs w:val="24"/>
        </w:rPr>
        <w:t xml:space="preserve"> to the </w:t>
      </w:r>
      <w:r w:rsidR="00F9095E" w:rsidRPr="003F1404">
        <w:rPr>
          <w:rFonts w:cs="Times New Roman"/>
          <w:szCs w:val="24"/>
        </w:rPr>
        <w:t>U. S</w:t>
      </w:r>
      <w:r w:rsidR="004D6ED5" w:rsidRPr="003F1404">
        <w:rPr>
          <w:rFonts w:cs="Times New Roman"/>
          <w:szCs w:val="24"/>
        </w:rPr>
        <w:t xml:space="preserve"> GAAD, the IFRS </w:t>
      </w:r>
      <w:r w:rsidR="00B60ADB" w:rsidRPr="003F1404">
        <w:rPr>
          <w:rFonts w:cs="Times New Roman"/>
          <w:szCs w:val="24"/>
        </w:rPr>
        <w:t>identifies</w:t>
      </w:r>
      <w:r w:rsidR="004D6ED5" w:rsidRPr="003F1404">
        <w:rPr>
          <w:rFonts w:cs="Times New Roman"/>
          <w:szCs w:val="24"/>
        </w:rPr>
        <w:t xml:space="preserve"> revenue as </w:t>
      </w:r>
      <w:r w:rsidR="004D6ED5" w:rsidRPr="003F1404">
        <w:rPr>
          <w:rFonts w:cs="Times New Roman"/>
          <w:i/>
          <w:iCs/>
          <w:szCs w:val="24"/>
        </w:rPr>
        <w:t xml:space="preserve">"a reference to the stage of completion at the end of the reporting period when the outcome can be </w:t>
      </w:r>
      <w:r w:rsidR="00F9095E" w:rsidRPr="003F1404">
        <w:rPr>
          <w:rFonts w:cs="Times New Roman"/>
          <w:i/>
          <w:iCs/>
          <w:szCs w:val="24"/>
        </w:rPr>
        <w:t>readily</w:t>
      </w:r>
      <w:r w:rsidR="004D6ED5" w:rsidRPr="003F1404">
        <w:rPr>
          <w:rFonts w:cs="Times New Roman"/>
          <w:i/>
          <w:iCs/>
          <w:szCs w:val="24"/>
        </w:rPr>
        <w:t xml:space="preserve"> estimated </w:t>
      </w:r>
      <w:r w:rsidR="00F9095E" w:rsidRPr="003F1404">
        <w:rPr>
          <w:rFonts w:cs="Times New Roman"/>
          <w:szCs w:val="24"/>
        </w:rPr>
        <w:t>“</w:t>
      </w:r>
      <w:r w:rsidR="00B60ADB" w:rsidRPr="003F1404">
        <w:rPr>
          <w:rFonts w:cs="Times New Roman"/>
          <w:szCs w:val="24"/>
        </w:rPr>
        <w:t xml:space="preserve"> (El-</w:t>
      </w:r>
      <w:proofErr w:type="spellStart"/>
      <w:r w:rsidR="00B60ADB" w:rsidRPr="003F1404">
        <w:rPr>
          <w:rFonts w:cs="Times New Roman"/>
          <w:szCs w:val="24"/>
        </w:rPr>
        <w:t>Gazzar</w:t>
      </w:r>
      <w:proofErr w:type="spellEnd"/>
      <w:r w:rsidR="00B60ADB" w:rsidRPr="003F1404">
        <w:rPr>
          <w:rFonts w:cs="Times New Roman"/>
          <w:szCs w:val="24"/>
        </w:rPr>
        <w:t xml:space="preserve"> &amp; Finn, 2017)</w:t>
      </w:r>
      <w:r w:rsidR="00F9095E" w:rsidRPr="003F1404">
        <w:rPr>
          <w:rFonts w:cs="Times New Roman"/>
          <w:szCs w:val="24"/>
        </w:rPr>
        <w:t xml:space="preserve">. </w:t>
      </w:r>
      <w:r w:rsidR="00F9095E" w:rsidRPr="003F1404">
        <w:rPr>
          <w:rFonts w:cs="Times New Roman"/>
          <w:szCs w:val="24"/>
        </w:rPr>
        <w:lastRenderedPageBreak/>
        <w:t>although</w:t>
      </w:r>
      <w:r w:rsidR="004D6ED5" w:rsidRPr="003F1404">
        <w:rPr>
          <w:rFonts w:cs="Times New Roman"/>
          <w:szCs w:val="24"/>
        </w:rPr>
        <w:t xml:space="preserve"> the above methods represent a slight di</w:t>
      </w:r>
      <w:r w:rsidR="00B60ADB" w:rsidRPr="003F1404">
        <w:rPr>
          <w:rFonts w:cs="Times New Roman"/>
          <w:szCs w:val="24"/>
        </w:rPr>
        <w:t>stinction</w:t>
      </w:r>
      <w:r w:rsidR="004D6ED5" w:rsidRPr="003F1404">
        <w:rPr>
          <w:rFonts w:cs="Times New Roman"/>
          <w:szCs w:val="24"/>
        </w:rPr>
        <w:t xml:space="preserve"> between </w:t>
      </w:r>
      <w:r w:rsidR="00B60ADB" w:rsidRPr="003F1404">
        <w:rPr>
          <w:rFonts w:cs="Times New Roman"/>
          <w:szCs w:val="24"/>
        </w:rPr>
        <w:t xml:space="preserve">IFRS and U.S GAAP, </w:t>
      </w:r>
      <w:r w:rsidR="004D6ED5" w:rsidRPr="003F1404">
        <w:rPr>
          <w:rFonts w:cs="Times New Roman"/>
          <w:szCs w:val="24"/>
        </w:rPr>
        <w:t xml:space="preserve">the absolute difference is when the </w:t>
      </w:r>
      <w:r w:rsidR="00B60ADB" w:rsidRPr="003F1404">
        <w:rPr>
          <w:rFonts w:cs="Times New Roman"/>
          <w:szCs w:val="24"/>
        </w:rPr>
        <w:t>income</w:t>
      </w:r>
      <w:r w:rsidR="004D6ED5" w:rsidRPr="003F1404">
        <w:rPr>
          <w:rFonts w:cs="Times New Roman"/>
          <w:szCs w:val="24"/>
        </w:rPr>
        <w:t xml:space="preserve"> from services should be noted.</w:t>
      </w:r>
    </w:p>
    <w:p w14:paraId="373C87E6" w14:textId="60BFCCF3" w:rsidR="004D6ED5" w:rsidRPr="003F1404" w:rsidRDefault="00DA4EFA" w:rsidP="00AB6EBF">
      <w:pPr>
        <w:pStyle w:val="Heading1"/>
        <w:jc w:val="center"/>
        <w:rPr>
          <w:rFonts w:ascii="Times New Roman" w:hAnsi="Times New Roman" w:cs="Times New Roman"/>
          <w:b/>
          <w:bCs/>
          <w:color w:val="auto"/>
          <w:sz w:val="24"/>
          <w:szCs w:val="24"/>
        </w:rPr>
      </w:pPr>
      <w:bookmarkStart w:id="5" w:name="_Toc84784222"/>
      <w:r w:rsidRPr="003F1404">
        <w:rPr>
          <w:rFonts w:ascii="Times New Roman" w:hAnsi="Times New Roman" w:cs="Times New Roman"/>
          <w:b/>
          <w:bCs/>
          <w:color w:val="auto"/>
          <w:sz w:val="24"/>
          <w:szCs w:val="24"/>
        </w:rPr>
        <w:t>Inventory</w:t>
      </w:r>
      <w:bookmarkEnd w:id="5"/>
    </w:p>
    <w:p w14:paraId="62684033" w14:textId="0FE1BD41" w:rsidR="004D6ED5" w:rsidRPr="003F1404" w:rsidRDefault="00DA4EFA" w:rsidP="004D6ED5">
      <w:pPr>
        <w:rPr>
          <w:rFonts w:cs="Times New Roman"/>
          <w:szCs w:val="24"/>
        </w:rPr>
      </w:pPr>
      <w:r w:rsidRPr="003F1404">
        <w:rPr>
          <w:rFonts w:cs="Times New Roman"/>
          <w:szCs w:val="24"/>
        </w:rPr>
        <w:tab/>
        <w:t xml:space="preserve">Each manufacturing firm must consider the inventory assessment </w:t>
      </w:r>
      <w:r w:rsidR="00F9095E" w:rsidRPr="003F1404">
        <w:rPr>
          <w:rFonts w:cs="Times New Roman"/>
          <w:szCs w:val="24"/>
        </w:rPr>
        <w:t>favorable</w:t>
      </w:r>
      <w:r w:rsidRPr="003F1404">
        <w:rPr>
          <w:rFonts w:cs="Times New Roman"/>
          <w:szCs w:val="24"/>
        </w:rPr>
        <w:t xml:space="preserve"> within the firm's </w:t>
      </w:r>
      <w:r w:rsidR="00F9095E" w:rsidRPr="003F1404">
        <w:rPr>
          <w:rFonts w:cs="Times New Roman"/>
          <w:szCs w:val="24"/>
        </w:rPr>
        <w:t>interests. The</w:t>
      </w:r>
      <w:r w:rsidRPr="003F1404">
        <w:rPr>
          <w:rFonts w:cs="Times New Roman"/>
          <w:szCs w:val="24"/>
        </w:rPr>
        <w:t xml:space="preserve"> difference </w:t>
      </w:r>
      <w:r w:rsidR="00F9095E" w:rsidRPr="003F1404">
        <w:rPr>
          <w:rFonts w:cs="Times New Roman"/>
          <w:szCs w:val="24"/>
        </w:rPr>
        <w:t>originates from</w:t>
      </w:r>
      <w:r w:rsidRPr="003F1404">
        <w:rPr>
          <w:rFonts w:cs="Times New Roman"/>
          <w:szCs w:val="24"/>
        </w:rPr>
        <w:t xml:space="preserve"> the evaluation of </w:t>
      </w:r>
      <w:r w:rsidR="00F9095E" w:rsidRPr="003F1404">
        <w:rPr>
          <w:rFonts w:cs="Times New Roman"/>
          <w:szCs w:val="24"/>
        </w:rPr>
        <w:t>inventory. Under</w:t>
      </w:r>
      <w:r w:rsidR="009F5882" w:rsidRPr="003F1404">
        <w:rPr>
          <w:rFonts w:cs="Times New Roman"/>
          <w:szCs w:val="24"/>
        </w:rPr>
        <w:t xml:space="preserve"> the U.S GAAP and the IFRS, </w:t>
      </w:r>
      <w:r w:rsidR="00F9095E" w:rsidRPr="003F1404">
        <w:rPr>
          <w:rFonts w:cs="Times New Roman"/>
          <w:szCs w:val="24"/>
        </w:rPr>
        <w:t>companies</w:t>
      </w:r>
      <w:r w:rsidR="009F5882" w:rsidRPr="003F1404">
        <w:rPr>
          <w:rFonts w:cs="Times New Roman"/>
          <w:szCs w:val="24"/>
        </w:rPr>
        <w:t xml:space="preserve"> can </w:t>
      </w:r>
      <w:r w:rsidR="00F9095E" w:rsidRPr="003F1404">
        <w:rPr>
          <w:rFonts w:cs="Times New Roman"/>
          <w:szCs w:val="24"/>
        </w:rPr>
        <w:t>decide</w:t>
      </w:r>
      <w:r w:rsidR="009F5882" w:rsidRPr="003F1404">
        <w:rPr>
          <w:rFonts w:cs="Times New Roman"/>
          <w:szCs w:val="24"/>
        </w:rPr>
        <w:t xml:space="preserve"> the periodic inventory </w:t>
      </w:r>
      <w:r w:rsidR="00F9095E" w:rsidRPr="003F1404">
        <w:rPr>
          <w:rFonts w:cs="Times New Roman"/>
          <w:szCs w:val="24"/>
        </w:rPr>
        <w:t>system</w:t>
      </w:r>
      <w:r w:rsidR="009F5882" w:rsidRPr="003F1404">
        <w:rPr>
          <w:rFonts w:cs="Times New Roman"/>
          <w:szCs w:val="24"/>
        </w:rPr>
        <w:t xml:space="preserve"> of elect the continuous inventory </w:t>
      </w:r>
      <w:r w:rsidR="00F9095E" w:rsidRPr="003F1404">
        <w:rPr>
          <w:rFonts w:cs="Times New Roman"/>
          <w:szCs w:val="24"/>
        </w:rPr>
        <w:t>system. Such</w:t>
      </w:r>
      <w:r w:rsidR="009F5882" w:rsidRPr="003F1404">
        <w:rPr>
          <w:rFonts w:cs="Times New Roman"/>
          <w:szCs w:val="24"/>
        </w:rPr>
        <w:t xml:space="preserve"> systems </w:t>
      </w:r>
      <w:r w:rsidR="00F9095E" w:rsidRPr="003F1404">
        <w:rPr>
          <w:rFonts w:cs="Times New Roman"/>
          <w:szCs w:val="24"/>
        </w:rPr>
        <w:t>check inventory</w:t>
      </w:r>
      <w:r w:rsidR="009F5882" w:rsidRPr="003F1404">
        <w:rPr>
          <w:rFonts w:cs="Times New Roman"/>
          <w:szCs w:val="24"/>
        </w:rPr>
        <w:t xml:space="preserve"> during different annual </w:t>
      </w:r>
      <w:r w:rsidR="00F9095E" w:rsidRPr="003F1404">
        <w:rPr>
          <w:rFonts w:cs="Times New Roman"/>
          <w:szCs w:val="24"/>
        </w:rPr>
        <w:t>periods. The</w:t>
      </w:r>
      <w:r w:rsidR="009F5882" w:rsidRPr="003F1404">
        <w:rPr>
          <w:rFonts w:cs="Times New Roman"/>
          <w:szCs w:val="24"/>
        </w:rPr>
        <w:t xml:space="preserve"> distinction between the boards is the evaluation of the </w:t>
      </w:r>
      <w:r w:rsidR="00F9095E" w:rsidRPr="003F1404">
        <w:rPr>
          <w:rFonts w:cs="Times New Roman"/>
          <w:szCs w:val="24"/>
        </w:rPr>
        <w:t>merchandise. The</w:t>
      </w:r>
      <w:r w:rsidR="009F5882" w:rsidRPr="003F1404">
        <w:rPr>
          <w:rFonts w:cs="Times New Roman"/>
          <w:szCs w:val="24"/>
        </w:rPr>
        <w:t xml:space="preserve"> constant method maintains the balance of stock as time </w:t>
      </w:r>
      <w:r w:rsidR="00F9095E" w:rsidRPr="003F1404">
        <w:rPr>
          <w:rFonts w:cs="Times New Roman"/>
          <w:szCs w:val="24"/>
        </w:rPr>
        <w:t>develops.</w:t>
      </w:r>
    </w:p>
    <w:p w14:paraId="58DB1896" w14:textId="1921962B" w:rsidR="004D6ED5" w:rsidRPr="003F1404" w:rsidRDefault="00DA4EFA" w:rsidP="004D6ED5">
      <w:pPr>
        <w:rPr>
          <w:rFonts w:cs="Times New Roman"/>
          <w:szCs w:val="24"/>
        </w:rPr>
      </w:pPr>
      <w:r w:rsidRPr="003F1404">
        <w:rPr>
          <w:rFonts w:cs="Times New Roman"/>
          <w:szCs w:val="24"/>
        </w:rPr>
        <w:tab/>
        <w:t>On</w:t>
      </w:r>
      <w:r w:rsidR="009F5882" w:rsidRPr="003F1404">
        <w:rPr>
          <w:rFonts w:cs="Times New Roman"/>
          <w:szCs w:val="24"/>
        </w:rPr>
        <w:t xml:space="preserve"> the other hand, the periodic process attaches value to its stock and requires a corporeal produce count. The </w:t>
      </w:r>
      <w:r w:rsidRPr="003F1404">
        <w:rPr>
          <w:rFonts w:cs="Times New Roman"/>
          <w:szCs w:val="24"/>
        </w:rPr>
        <w:t>perpetual</w:t>
      </w:r>
      <w:r w:rsidR="009F5882" w:rsidRPr="003F1404">
        <w:rPr>
          <w:rFonts w:cs="Times New Roman"/>
          <w:szCs w:val="24"/>
        </w:rPr>
        <w:t xml:space="preserve"> inventory system is the most common among auditors and firms since it is cost-effective and </w:t>
      </w:r>
      <w:r w:rsidRPr="003F1404">
        <w:rPr>
          <w:rFonts w:cs="Times New Roman"/>
          <w:szCs w:val="24"/>
        </w:rPr>
        <w:t>efficient. The</w:t>
      </w:r>
      <w:r w:rsidR="009F5882" w:rsidRPr="003F1404">
        <w:rPr>
          <w:rFonts w:cs="Times New Roman"/>
          <w:szCs w:val="24"/>
        </w:rPr>
        <w:t xml:space="preserve"> U.S GAAP interpretation is </w:t>
      </w:r>
      <w:r w:rsidRPr="003F1404">
        <w:rPr>
          <w:rFonts w:cs="Times New Roman"/>
          <w:szCs w:val="24"/>
        </w:rPr>
        <w:t>distinct</w:t>
      </w:r>
      <w:r w:rsidR="009F5882" w:rsidRPr="003F1404">
        <w:rPr>
          <w:rFonts w:cs="Times New Roman"/>
          <w:szCs w:val="24"/>
        </w:rPr>
        <w:t xml:space="preserve"> from IFRS inventory </w:t>
      </w:r>
      <w:r w:rsidRPr="003F1404">
        <w:rPr>
          <w:rFonts w:cs="Times New Roman"/>
          <w:szCs w:val="24"/>
        </w:rPr>
        <w:t>valuation. On one side, The</w:t>
      </w:r>
      <w:r w:rsidR="009F5882" w:rsidRPr="003F1404">
        <w:rPr>
          <w:rFonts w:cs="Times New Roman"/>
          <w:szCs w:val="24"/>
        </w:rPr>
        <w:t xml:space="preserve"> IFRS utilizes the net realizable value to regulate the inventory </w:t>
      </w:r>
      <w:r w:rsidRPr="003F1404">
        <w:rPr>
          <w:rFonts w:cs="Times New Roman"/>
          <w:szCs w:val="24"/>
        </w:rPr>
        <w:t>value. The</w:t>
      </w:r>
      <w:r w:rsidR="009F5882" w:rsidRPr="003F1404">
        <w:rPr>
          <w:rFonts w:cs="Times New Roman"/>
          <w:szCs w:val="24"/>
        </w:rPr>
        <w:t xml:space="preserve"> possible deal involves the estimation of the selling </w:t>
      </w:r>
      <w:r w:rsidRPr="003F1404">
        <w:rPr>
          <w:rFonts w:cs="Times New Roman"/>
          <w:szCs w:val="24"/>
        </w:rPr>
        <w:t>price. The</w:t>
      </w:r>
      <w:r w:rsidR="002A4ABA" w:rsidRPr="003F1404">
        <w:rPr>
          <w:rFonts w:cs="Times New Roman"/>
          <w:szCs w:val="24"/>
        </w:rPr>
        <w:t xml:space="preserve"> U.S GAAP measures the </w:t>
      </w:r>
      <w:r w:rsidR="00B60ADB" w:rsidRPr="003F1404">
        <w:rPr>
          <w:rFonts w:cs="Times New Roman"/>
          <w:szCs w:val="24"/>
        </w:rPr>
        <w:t>account</w:t>
      </w:r>
      <w:r w:rsidR="002A4ABA" w:rsidRPr="003F1404">
        <w:rPr>
          <w:rFonts w:cs="Times New Roman"/>
          <w:szCs w:val="24"/>
        </w:rPr>
        <w:t xml:space="preserve"> using the cost bottommost cost </w:t>
      </w:r>
      <w:r w:rsidR="00B60ADB" w:rsidRPr="003F1404">
        <w:rPr>
          <w:rFonts w:cs="Times New Roman"/>
          <w:szCs w:val="24"/>
        </w:rPr>
        <w:t>technique</w:t>
      </w:r>
      <w:r w:rsidR="002A4ABA" w:rsidRPr="003F1404">
        <w:rPr>
          <w:rFonts w:cs="Times New Roman"/>
          <w:szCs w:val="24"/>
        </w:rPr>
        <w:t>.</w:t>
      </w:r>
    </w:p>
    <w:p w14:paraId="75E6AB53" w14:textId="39266403" w:rsidR="002A4ABA" w:rsidRPr="003F1404" w:rsidRDefault="00DA4EFA" w:rsidP="00090708">
      <w:pPr>
        <w:pStyle w:val="Heading1"/>
        <w:jc w:val="center"/>
        <w:rPr>
          <w:rFonts w:ascii="Times New Roman" w:hAnsi="Times New Roman" w:cs="Times New Roman"/>
          <w:b/>
          <w:bCs/>
          <w:color w:val="auto"/>
          <w:sz w:val="24"/>
          <w:szCs w:val="24"/>
        </w:rPr>
      </w:pPr>
      <w:bookmarkStart w:id="6" w:name="_Toc84784223"/>
      <w:r w:rsidRPr="003F1404">
        <w:rPr>
          <w:rFonts w:ascii="Times New Roman" w:hAnsi="Times New Roman" w:cs="Times New Roman"/>
          <w:b/>
          <w:bCs/>
          <w:color w:val="auto"/>
          <w:sz w:val="24"/>
          <w:szCs w:val="24"/>
        </w:rPr>
        <w:t>Incomes Taxes</w:t>
      </w:r>
      <w:bookmarkEnd w:id="6"/>
    </w:p>
    <w:p w14:paraId="0D3AB789" w14:textId="4F02591E" w:rsidR="002A4ABA" w:rsidRPr="003F1404" w:rsidRDefault="00DA4EFA" w:rsidP="002A4ABA">
      <w:pPr>
        <w:rPr>
          <w:rFonts w:cs="Times New Roman"/>
          <w:szCs w:val="24"/>
        </w:rPr>
      </w:pPr>
      <w:r w:rsidRPr="003F1404">
        <w:rPr>
          <w:rFonts w:cs="Times New Roman"/>
          <w:szCs w:val="24"/>
        </w:rPr>
        <w:tab/>
        <w:t xml:space="preserve">U.S GAAP and the IFRS have different views regarding income tax </w:t>
      </w:r>
      <w:r w:rsidR="00F9095E" w:rsidRPr="003F1404">
        <w:rPr>
          <w:rFonts w:cs="Times New Roman"/>
          <w:szCs w:val="24"/>
        </w:rPr>
        <w:t>processes. Besides, Income</w:t>
      </w:r>
      <w:r w:rsidRPr="003F1404">
        <w:rPr>
          <w:rFonts w:cs="Times New Roman"/>
          <w:szCs w:val="24"/>
        </w:rPr>
        <w:t xml:space="preserve"> taxes are complicated for both boards because of the financial accounting standards and the tax laws. The U.S GAAP and the IFRS account for income tax expenses. According to </w:t>
      </w:r>
      <w:r w:rsidR="006C600E" w:rsidRPr="003F1404">
        <w:rPr>
          <w:rFonts w:cs="Times New Roman"/>
          <w:szCs w:val="24"/>
        </w:rPr>
        <w:t>(El-</w:t>
      </w:r>
      <w:proofErr w:type="spellStart"/>
      <w:r w:rsidR="006C600E" w:rsidRPr="003F1404">
        <w:rPr>
          <w:rFonts w:cs="Times New Roman"/>
          <w:szCs w:val="24"/>
        </w:rPr>
        <w:t>Gazzar</w:t>
      </w:r>
      <w:proofErr w:type="spellEnd"/>
      <w:r w:rsidR="006C600E" w:rsidRPr="003F1404">
        <w:rPr>
          <w:rFonts w:cs="Times New Roman"/>
          <w:szCs w:val="24"/>
        </w:rPr>
        <w:t xml:space="preserve"> &amp; Finn, 2017</w:t>
      </w:r>
      <w:r w:rsidR="000846E6" w:rsidRPr="003F1404">
        <w:rPr>
          <w:rFonts w:cs="Times New Roman"/>
          <w:szCs w:val="24"/>
        </w:rPr>
        <w:t xml:space="preserve">), most big firms </w:t>
      </w:r>
      <w:r w:rsidR="00F9095E" w:rsidRPr="003F1404">
        <w:rPr>
          <w:rFonts w:cs="Times New Roman"/>
          <w:szCs w:val="24"/>
        </w:rPr>
        <w:t>use different</w:t>
      </w:r>
      <w:r w:rsidR="000846E6" w:rsidRPr="003F1404">
        <w:rPr>
          <w:rFonts w:cs="Times New Roman"/>
          <w:szCs w:val="24"/>
        </w:rPr>
        <w:t xml:space="preserve"> guidelines such as classification of fluctuated liabilities and tax assets, the gratitude of delayed tax assets, initial acknowledgement </w:t>
      </w:r>
      <w:r w:rsidR="00F9095E" w:rsidRPr="003F1404">
        <w:rPr>
          <w:rFonts w:cs="Times New Roman"/>
          <w:szCs w:val="24"/>
        </w:rPr>
        <w:t>exception, unspecified</w:t>
      </w:r>
      <w:r w:rsidR="000846E6" w:rsidRPr="003F1404">
        <w:rPr>
          <w:rFonts w:cs="Times New Roman"/>
          <w:szCs w:val="24"/>
        </w:rPr>
        <w:t xml:space="preserve"> tax </w:t>
      </w:r>
      <w:r w:rsidR="00F9095E" w:rsidRPr="003F1404">
        <w:rPr>
          <w:rFonts w:cs="Times New Roman"/>
          <w:szCs w:val="24"/>
        </w:rPr>
        <w:t>positions</w:t>
      </w:r>
      <w:r w:rsidR="00DF4596" w:rsidRPr="003F1404">
        <w:rPr>
          <w:rFonts w:cs="Times New Roman"/>
          <w:szCs w:val="24"/>
        </w:rPr>
        <w:t>, and tax basis.</w:t>
      </w:r>
    </w:p>
    <w:p w14:paraId="4C2CD761" w14:textId="05A9053F" w:rsidR="007640AD" w:rsidRPr="003F1404" w:rsidRDefault="00DA4EFA" w:rsidP="00AB6EBF">
      <w:pPr>
        <w:pStyle w:val="Heading1"/>
        <w:jc w:val="center"/>
        <w:rPr>
          <w:rFonts w:ascii="Times New Roman" w:hAnsi="Times New Roman" w:cs="Times New Roman"/>
          <w:b/>
          <w:bCs/>
          <w:color w:val="auto"/>
          <w:sz w:val="24"/>
          <w:szCs w:val="24"/>
        </w:rPr>
      </w:pPr>
      <w:bookmarkStart w:id="7" w:name="_Toc84784224"/>
      <w:r w:rsidRPr="003F1404">
        <w:rPr>
          <w:rFonts w:ascii="Times New Roman" w:hAnsi="Times New Roman" w:cs="Times New Roman"/>
          <w:b/>
          <w:bCs/>
          <w:color w:val="auto"/>
          <w:sz w:val="24"/>
          <w:szCs w:val="24"/>
        </w:rPr>
        <w:lastRenderedPageBreak/>
        <w:t xml:space="preserve">Differences </w:t>
      </w:r>
      <w:r w:rsidR="004640AE" w:rsidRPr="003F1404">
        <w:rPr>
          <w:rFonts w:ascii="Times New Roman" w:hAnsi="Times New Roman" w:cs="Times New Roman"/>
          <w:b/>
          <w:bCs/>
          <w:color w:val="auto"/>
          <w:sz w:val="24"/>
          <w:szCs w:val="24"/>
        </w:rPr>
        <w:t xml:space="preserve">Between </w:t>
      </w:r>
      <w:r w:rsidRPr="003F1404">
        <w:rPr>
          <w:rFonts w:ascii="Times New Roman" w:hAnsi="Times New Roman" w:cs="Times New Roman"/>
          <w:b/>
          <w:bCs/>
          <w:color w:val="auto"/>
          <w:sz w:val="24"/>
          <w:szCs w:val="24"/>
        </w:rPr>
        <w:t xml:space="preserve">IFRS </w:t>
      </w:r>
      <w:r w:rsidR="004640AE" w:rsidRPr="003F1404">
        <w:rPr>
          <w:rFonts w:ascii="Times New Roman" w:hAnsi="Times New Roman" w:cs="Times New Roman"/>
          <w:b/>
          <w:bCs/>
          <w:color w:val="auto"/>
          <w:sz w:val="24"/>
          <w:szCs w:val="24"/>
        </w:rPr>
        <w:t xml:space="preserve">and </w:t>
      </w:r>
      <w:r w:rsidRPr="003F1404">
        <w:rPr>
          <w:rFonts w:ascii="Times New Roman" w:hAnsi="Times New Roman" w:cs="Times New Roman"/>
          <w:b/>
          <w:bCs/>
          <w:color w:val="auto"/>
          <w:sz w:val="24"/>
          <w:szCs w:val="24"/>
        </w:rPr>
        <w:t>U</w:t>
      </w:r>
      <w:r w:rsidR="004640AE" w:rsidRPr="003F1404">
        <w:rPr>
          <w:rFonts w:ascii="Times New Roman" w:hAnsi="Times New Roman" w:cs="Times New Roman"/>
          <w:b/>
          <w:bCs/>
          <w:color w:val="auto"/>
          <w:sz w:val="24"/>
          <w:szCs w:val="24"/>
        </w:rPr>
        <w:t>.</w:t>
      </w:r>
      <w:r w:rsidRPr="003F1404">
        <w:rPr>
          <w:rFonts w:ascii="Times New Roman" w:hAnsi="Times New Roman" w:cs="Times New Roman"/>
          <w:b/>
          <w:bCs/>
          <w:color w:val="auto"/>
          <w:sz w:val="24"/>
          <w:szCs w:val="24"/>
        </w:rPr>
        <w:t>S GAAP</w:t>
      </w:r>
      <w:r w:rsidR="004640AE" w:rsidRPr="003F1404">
        <w:rPr>
          <w:rFonts w:ascii="Times New Roman" w:hAnsi="Times New Roman" w:cs="Times New Roman"/>
          <w:b/>
          <w:bCs/>
          <w:color w:val="auto"/>
          <w:sz w:val="24"/>
          <w:szCs w:val="24"/>
        </w:rPr>
        <w:t xml:space="preserve"> in Terms of Leases</w:t>
      </w:r>
      <w:bookmarkEnd w:id="7"/>
    </w:p>
    <w:p w14:paraId="18D5BB4B" w14:textId="44958FC4" w:rsidR="004640AE" w:rsidRPr="003F1404" w:rsidRDefault="00DA4EFA" w:rsidP="00F9095E">
      <w:pPr>
        <w:rPr>
          <w:rFonts w:cs="Times New Roman"/>
          <w:szCs w:val="24"/>
        </w:rPr>
      </w:pPr>
      <w:r w:rsidRPr="003F1404">
        <w:rPr>
          <w:rFonts w:cs="Times New Roman"/>
          <w:b/>
          <w:bCs/>
          <w:szCs w:val="24"/>
        </w:rPr>
        <w:tab/>
      </w:r>
      <w:r w:rsidRPr="003F1404">
        <w:rPr>
          <w:rFonts w:cs="Times New Roman"/>
          <w:szCs w:val="24"/>
        </w:rPr>
        <w:t xml:space="preserve">Firms lease assets on different </w:t>
      </w:r>
      <w:r w:rsidR="00F9095E" w:rsidRPr="003F1404">
        <w:rPr>
          <w:rFonts w:cs="Times New Roman"/>
          <w:szCs w:val="24"/>
        </w:rPr>
        <w:t>occasions throughout the year. Leases</w:t>
      </w:r>
      <w:r w:rsidRPr="003F1404">
        <w:rPr>
          <w:rFonts w:cs="Times New Roman"/>
          <w:szCs w:val="24"/>
        </w:rPr>
        <w:t xml:space="preserve"> are </w:t>
      </w:r>
      <w:r w:rsidR="00174E88" w:rsidRPr="003F1404">
        <w:rPr>
          <w:rFonts w:cs="Times New Roman"/>
          <w:szCs w:val="24"/>
        </w:rPr>
        <w:t>reported</w:t>
      </w:r>
      <w:r w:rsidRPr="003F1404">
        <w:rPr>
          <w:rFonts w:cs="Times New Roman"/>
          <w:szCs w:val="24"/>
        </w:rPr>
        <w:t xml:space="preserve"> for in </w:t>
      </w:r>
      <w:r w:rsidR="0027348D" w:rsidRPr="003F1404">
        <w:rPr>
          <w:rFonts w:cs="Times New Roman"/>
          <w:szCs w:val="24"/>
        </w:rPr>
        <w:t>U.S GAAP</w:t>
      </w:r>
      <w:r w:rsidR="00174E88" w:rsidRPr="003F1404">
        <w:rPr>
          <w:rFonts w:cs="Times New Roman"/>
          <w:szCs w:val="24"/>
        </w:rPr>
        <w:t xml:space="preserve"> and IFRS</w:t>
      </w:r>
      <w:r w:rsidRPr="003F1404">
        <w:rPr>
          <w:rFonts w:cs="Times New Roman"/>
          <w:szCs w:val="24"/>
        </w:rPr>
        <w:t xml:space="preserve">. Besides, there are many </w:t>
      </w:r>
      <w:r w:rsidR="00174E88" w:rsidRPr="003F1404">
        <w:rPr>
          <w:rFonts w:cs="Times New Roman"/>
          <w:szCs w:val="24"/>
        </w:rPr>
        <w:t>distinction</w:t>
      </w:r>
      <w:r w:rsidRPr="003F1404">
        <w:rPr>
          <w:rFonts w:cs="Times New Roman"/>
          <w:szCs w:val="24"/>
        </w:rPr>
        <w:t xml:space="preserve">s between </w:t>
      </w:r>
      <w:r w:rsidR="00174E88" w:rsidRPr="003F1404">
        <w:rPr>
          <w:rFonts w:cs="Times New Roman"/>
          <w:szCs w:val="24"/>
        </w:rPr>
        <w:t>the two boards</w:t>
      </w:r>
      <w:r w:rsidR="0027348D" w:rsidRPr="003F1404">
        <w:rPr>
          <w:rFonts w:cs="Times New Roman"/>
          <w:szCs w:val="24"/>
        </w:rPr>
        <w:t xml:space="preserve"> </w:t>
      </w:r>
      <w:r w:rsidRPr="003F1404">
        <w:rPr>
          <w:rFonts w:cs="Times New Roman"/>
          <w:szCs w:val="24"/>
        </w:rPr>
        <w:t>on lease accounting in the classification and scope.</w:t>
      </w:r>
      <w:r w:rsidR="00F9095E" w:rsidRPr="003F1404">
        <w:rPr>
          <w:rFonts w:cs="Times New Roman"/>
          <w:szCs w:val="24"/>
        </w:rPr>
        <w:t xml:space="preserve"> </w:t>
      </w:r>
      <w:r w:rsidRPr="003F1404">
        <w:rPr>
          <w:rFonts w:cs="Times New Roman"/>
          <w:szCs w:val="24"/>
        </w:rPr>
        <w:t>IFRS uses (IAS17</w:t>
      </w:r>
      <w:r w:rsidR="00F9095E" w:rsidRPr="003F1404">
        <w:rPr>
          <w:rFonts w:cs="Times New Roman"/>
          <w:szCs w:val="24"/>
        </w:rPr>
        <w:t>) that</w:t>
      </w:r>
      <w:r w:rsidR="00F16BFC" w:rsidRPr="003F1404">
        <w:rPr>
          <w:rFonts w:cs="Times New Roman"/>
          <w:szCs w:val="24"/>
        </w:rPr>
        <w:t xml:space="preserve"> states that the </w:t>
      </w:r>
      <w:r w:rsidR="0027348D" w:rsidRPr="003F1404">
        <w:rPr>
          <w:rFonts w:cs="Times New Roman"/>
          <w:szCs w:val="24"/>
        </w:rPr>
        <w:t>leaser’s</w:t>
      </w:r>
      <w:r w:rsidR="00F16BFC" w:rsidRPr="003F1404">
        <w:rPr>
          <w:rFonts w:cs="Times New Roman"/>
          <w:szCs w:val="24"/>
        </w:rPr>
        <w:t xml:space="preserve"> transfer of the rights to utilize assets may be linked with the </w:t>
      </w:r>
      <w:r w:rsidR="00F9095E" w:rsidRPr="003F1404">
        <w:rPr>
          <w:rFonts w:cs="Times New Roman"/>
          <w:szCs w:val="24"/>
        </w:rPr>
        <w:t>maintenance</w:t>
      </w:r>
      <w:r w:rsidR="00F16BFC" w:rsidRPr="003F1404">
        <w:rPr>
          <w:rFonts w:cs="Times New Roman"/>
          <w:szCs w:val="24"/>
        </w:rPr>
        <w:t xml:space="preserve"> or operation of such investments. U.S GAAP ASC 840 </w:t>
      </w:r>
      <w:r w:rsidR="00F9095E" w:rsidRPr="003F1404">
        <w:rPr>
          <w:rFonts w:cs="Times New Roman"/>
          <w:szCs w:val="24"/>
        </w:rPr>
        <w:t>acknowledges lease</w:t>
      </w:r>
      <w:r w:rsidR="00F16BFC" w:rsidRPr="003F1404">
        <w:rPr>
          <w:rFonts w:cs="Times New Roman"/>
          <w:szCs w:val="24"/>
        </w:rPr>
        <w:t xml:space="preserve"> as an </w:t>
      </w:r>
      <w:r w:rsidR="0027348D" w:rsidRPr="003F1404">
        <w:rPr>
          <w:rFonts w:cs="Times New Roman"/>
          <w:szCs w:val="24"/>
        </w:rPr>
        <w:t>arrangement</w:t>
      </w:r>
      <w:r w:rsidR="00F16BFC" w:rsidRPr="003F1404">
        <w:rPr>
          <w:rFonts w:cs="Times New Roman"/>
          <w:szCs w:val="24"/>
        </w:rPr>
        <w:t xml:space="preserve"> </w:t>
      </w:r>
      <w:r w:rsidR="0027348D" w:rsidRPr="003F1404">
        <w:rPr>
          <w:rFonts w:cs="Times New Roman"/>
          <w:szCs w:val="24"/>
        </w:rPr>
        <w:t>transmission</w:t>
      </w:r>
      <w:r w:rsidR="00F16BFC" w:rsidRPr="003F1404">
        <w:rPr>
          <w:rFonts w:cs="Times New Roman"/>
          <w:szCs w:val="24"/>
        </w:rPr>
        <w:t xml:space="preserve"> the right to use </w:t>
      </w:r>
      <w:r w:rsidR="00F9095E" w:rsidRPr="003F1404">
        <w:rPr>
          <w:rFonts w:cs="Times New Roman"/>
          <w:szCs w:val="24"/>
        </w:rPr>
        <w:t>equipment, plant</w:t>
      </w:r>
      <w:r w:rsidR="00F16BFC" w:rsidRPr="003F1404">
        <w:rPr>
          <w:rFonts w:cs="Times New Roman"/>
          <w:szCs w:val="24"/>
        </w:rPr>
        <w:t>, or property for the mentioned period</w:t>
      </w:r>
      <w:r w:rsidR="00F9095E" w:rsidRPr="003F1404">
        <w:rPr>
          <w:rFonts w:cs="Times New Roman"/>
          <w:szCs w:val="24"/>
        </w:rPr>
        <w:t>. Thus,</w:t>
      </w:r>
      <w:r w:rsidR="00F16BFC" w:rsidRPr="003F1404">
        <w:rPr>
          <w:rFonts w:cs="Times New Roman"/>
          <w:szCs w:val="24"/>
        </w:rPr>
        <w:t xml:space="preserve"> the IAS 17 scope </w:t>
      </w:r>
      <w:r w:rsidR="00B60ADB" w:rsidRPr="003F1404">
        <w:rPr>
          <w:rFonts w:cs="Times New Roman"/>
          <w:szCs w:val="24"/>
        </w:rPr>
        <w:t>comprises</w:t>
      </w:r>
      <w:r w:rsidR="00F16BFC" w:rsidRPr="003F1404">
        <w:rPr>
          <w:rFonts w:cs="Times New Roman"/>
          <w:szCs w:val="24"/>
        </w:rPr>
        <w:t xml:space="preserve"> the additional right to use other assets, </w:t>
      </w:r>
      <w:r w:rsidR="0027348D" w:rsidRPr="003F1404">
        <w:rPr>
          <w:rFonts w:cs="Times New Roman"/>
          <w:szCs w:val="24"/>
        </w:rPr>
        <w:t xml:space="preserve">including </w:t>
      </w:r>
      <w:r w:rsidR="005F116F" w:rsidRPr="003F1404">
        <w:rPr>
          <w:rFonts w:cs="Times New Roman"/>
          <w:szCs w:val="24"/>
        </w:rPr>
        <w:t>equipment, p</w:t>
      </w:r>
      <w:r w:rsidR="0027348D" w:rsidRPr="003F1404">
        <w:rPr>
          <w:rFonts w:cs="Times New Roman"/>
          <w:szCs w:val="24"/>
        </w:rPr>
        <w:t>roperty</w:t>
      </w:r>
      <w:r w:rsidR="00F16BFC" w:rsidRPr="003F1404">
        <w:rPr>
          <w:rFonts w:cs="Times New Roman"/>
          <w:szCs w:val="24"/>
        </w:rPr>
        <w:t xml:space="preserve">, and </w:t>
      </w:r>
      <w:r w:rsidR="00B60ADB" w:rsidRPr="003F1404">
        <w:rPr>
          <w:rFonts w:cs="Times New Roman"/>
          <w:szCs w:val="24"/>
        </w:rPr>
        <w:t>land</w:t>
      </w:r>
      <w:r w:rsidR="00F16BFC" w:rsidRPr="003F1404">
        <w:rPr>
          <w:rFonts w:cs="Times New Roman"/>
          <w:szCs w:val="24"/>
        </w:rPr>
        <w:t xml:space="preserve">. In this case, the intangible assets are within the agreed </w:t>
      </w:r>
      <w:r w:rsidR="00F9095E" w:rsidRPr="003F1404">
        <w:rPr>
          <w:rFonts w:cs="Times New Roman"/>
          <w:szCs w:val="24"/>
        </w:rPr>
        <w:t>scope. IFRS</w:t>
      </w:r>
      <w:r w:rsidR="00C42173" w:rsidRPr="003F1404">
        <w:rPr>
          <w:rFonts w:cs="Times New Roman"/>
          <w:szCs w:val="24"/>
        </w:rPr>
        <w:t xml:space="preserve"> accounting for leases agreement uses a </w:t>
      </w:r>
      <w:r w:rsidR="00F9095E" w:rsidRPr="003F1404">
        <w:rPr>
          <w:rFonts w:cs="Times New Roman"/>
          <w:szCs w:val="24"/>
        </w:rPr>
        <w:t>principles-based</w:t>
      </w:r>
      <w:r w:rsidR="00C42173" w:rsidRPr="003F1404">
        <w:rPr>
          <w:rFonts w:cs="Times New Roman"/>
          <w:szCs w:val="24"/>
        </w:rPr>
        <w:t xml:space="preserve"> approach, and it is also </w:t>
      </w:r>
      <w:r w:rsidR="005F116F" w:rsidRPr="003F1404">
        <w:rPr>
          <w:rFonts w:cs="Times New Roman"/>
          <w:szCs w:val="24"/>
        </w:rPr>
        <w:t>subjective.</w:t>
      </w:r>
    </w:p>
    <w:p w14:paraId="684B0F54" w14:textId="142BDB49" w:rsidR="004640AE" w:rsidRPr="003F1404" w:rsidRDefault="00DA4EFA" w:rsidP="00F9095E">
      <w:pPr>
        <w:rPr>
          <w:rFonts w:cs="Times New Roman"/>
          <w:szCs w:val="24"/>
        </w:rPr>
      </w:pPr>
      <w:r w:rsidRPr="003F1404">
        <w:rPr>
          <w:rFonts w:cs="Times New Roman"/>
          <w:szCs w:val="24"/>
        </w:rPr>
        <w:tab/>
        <w:t>On</w:t>
      </w:r>
      <w:r w:rsidR="00C42173" w:rsidRPr="003F1404">
        <w:rPr>
          <w:rFonts w:cs="Times New Roman"/>
          <w:szCs w:val="24"/>
        </w:rPr>
        <w:t xml:space="preserve"> the other </w:t>
      </w:r>
      <w:r w:rsidRPr="003F1404">
        <w:rPr>
          <w:rFonts w:cs="Times New Roman"/>
          <w:szCs w:val="24"/>
        </w:rPr>
        <w:t>hand,</w:t>
      </w:r>
      <w:r w:rsidR="00C42173" w:rsidRPr="003F1404">
        <w:rPr>
          <w:rFonts w:cs="Times New Roman"/>
          <w:szCs w:val="24"/>
        </w:rPr>
        <w:t xml:space="preserve"> the U.S GAAP leases utilize a </w:t>
      </w:r>
      <w:r w:rsidR="0027348D" w:rsidRPr="003F1404">
        <w:rPr>
          <w:rFonts w:cs="Times New Roman"/>
          <w:szCs w:val="24"/>
        </w:rPr>
        <w:t>severe</w:t>
      </w:r>
      <w:r w:rsidR="00C42173" w:rsidRPr="003F1404">
        <w:rPr>
          <w:rFonts w:cs="Times New Roman"/>
          <w:szCs w:val="24"/>
        </w:rPr>
        <w:t xml:space="preserve"> </w:t>
      </w:r>
      <w:r w:rsidRPr="003F1404">
        <w:rPr>
          <w:rFonts w:cs="Times New Roman"/>
          <w:szCs w:val="24"/>
        </w:rPr>
        <w:t>rules-based</w:t>
      </w:r>
      <w:r w:rsidR="00C42173" w:rsidRPr="003F1404">
        <w:rPr>
          <w:rFonts w:cs="Times New Roman"/>
          <w:szCs w:val="24"/>
        </w:rPr>
        <w:t xml:space="preserve"> </w:t>
      </w:r>
      <w:r w:rsidRPr="003F1404">
        <w:rPr>
          <w:rFonts w:cs="Times New Roman"/>
          <w:szCs w:val="24"/>
        </w:rPr>
        <w:t>system. The</w:t>
      </w:r>
      <w:r w:rsidR="00C42173" w:rsidRPr="003F1404">
        <w:rPr>
          <w:rFonts w:cs="Times New Roman"/>
          <w:szCs w:val="24"/>
        </w:rPr>
        <w:t xml:space="preserve"> U.S GAAP </w:t>
      </w:r>
      <w:r w:rsidRPr="003F1404">
        <w:rPr>
          <w:rFonts w:cs="Times New Roman"/>
          <w:szCs w:val="24"/>
        </w:rPr>
        <w:t>involves</w:t>
      </w:r>
      <w:r w:rsidR="00C42173" w:rsidRPr="003F1404">
        <w:rPr>
          <w:rFonts w:cs="Times New Roman"/>
          <w:szCs w:val="24"/>
        </w:rPr>
        <w:t xml:space="preserve"> different demands for lease and </w:t>
      </w:r>
      <w:r w:rsidRPr="003F1404">
        <w:rPr>
          <w:rFonts w:cs="Times New Roman"/>
          <w:szCs w:val="24"/>
        </w:rPr>
        <w:t>sale transaction</w:t>
      </w:r>
      <w:r w:rsidR="00C42173" w:rsidRPr="003F1404">
        <w:rPr>
          <w:rFonts w:cs="Times New Roman"/>
          <w:szCs w:val="24"/>
        </w:rPr>
        <w:t xml:space="preserve">s about the </w:t>
      </w:r>
      <w:r w:rsidR="0027348D" w:rsidRPr="003F1404">
        <w:rPr>
          <w:rFonts w:cs="Times New Roman"/>
          <w:szCs w:val="24"/>
        </w:rPr>
        <w:t>property</w:t>
      </w:r>
      <w:r w:rsidRPr="003F1404">
        <w:rPr>
          <w:rFonts w:cs="Times New Roman"/>
          <w:szCs w:val="24"/>
        </w:rPr>
        <w:t>. The</w:t>
      </w:r>
      <w:r w:rsidR="00C42173" w:rsidRPr="003F1404">
        <w:rPr>
          <w:rFonts w:cs="Times New Roman"/>
          <w:szCs w:val="24"/>
        </w:rPr>
        <w:t xml:space="preserve"> ASC 840-40 includes the </w:t>
      </w:r>
      <w:r w:rsidR="0027348D" w:rsidRPr="003F1404">
        <w:rPr>
          <w:rFonts w:cs="Times New Roman"/>
          <w:szCs w:val="24"/>
        </w:rPr>
        <w:t>standards</w:t>
      </w:r>
      <w:r w:rsidR="00C42173" w:rsidRPr="003F1404">
        <w:rPr>
          <w:rFonts w:cs="Times New Roman"/>
          <w:szCs w:val="24"/>
        </w:rPr>
        <w:t xml:space="preserve"> that must be adhered to for the sale and leaseback </w:t>
      </w:r>
      <w:r w:rsidR="0027348D" w:rsidRPr="003F1404">
        <w:rPr>
          <w:rFonts w:cs="Times New Roman"/>
          <w:szCs w:val="24"/>
        </w:rPr>
        <w:t>contract</w:t>
      </w:r>
      <w:r w:rsidR="00C42173" w:rsidRPr="003F1404">
        <w:rPr>
          <w:rFonts w:cs="Times New Roman"/>
          <w:szCs w:val="24"/>
        </w:rPr>
        <w:t xml:space="preserve"> in real </w:t>
      </w:r>
      <w:r w:rsidRPr="003F1404">
        <w:rPr>
          <w:rFonts w:cs="Times New Roman"/>
          <w:szCs w:val="24"/>
        </w:rPr>
        <w:t xml:space="preserve">estate sales. </w:t>
      </w:r>
      <w:r w:rsidR="0027348D" w:rsidRPr="003F1404">
        <w:rPr>
          <w:rFonts w:cs="Times New Roman"/>
          <w:szCs w:val="24"/>
        </w:rPr>
        <w:t>Conversely</w:t>
      </w:r>
      <w:r w:rsidR="00C42173" w:rsidRPr="003F1404">
        <w:rPr>
          <w:rFonts w:cs="Times New Roman"/>
          <w:szCs w:val="24"/>
        </w:rPr>
        <w:t xml:space="preserve">, the IAS 17 demands a </w:t>
      </w:r>
      <w:r w:rsidR="0027348D" w:rsidRPr="003F1404">
        <w:rPr>
          <w:rFonts w:cs="Times New Roman"/>
          <w:szCs w:val="24"/>
        </w:rPr>
        <w:t>let</w:t>
      </w:r>
      <w:r w:rsidR="00C42173" w:rsidRPr="003F1404">
        <w:rPr>
          <w:rFonts w:cs="Times New Roman"/>
          <w:szCs w:val="24"/>
        </w:rPr>
        <w:t xml:space="preserve"> classified as a capital or </w:t>
      </w:r>
      <w:r w:rsidR="0027348D" w:rsidRPr="003F1404">
        <w:rPr>
          <w:rFonts w:cs="Times New Roman"/>
          <w:szCs w:val="24"/>
        </w:rPr>
        <w:t>money</w:t>
      </w:r>
      <w:r w:rsidR="00C42173" w:rsidRPr="003F1404">
        <w:rPr>
          <w:rFonts w:cs="Times New Roman"/>
          <w:szCs w:val="24"/>
        </w:rPr>
        <w:t xml:space="preserve"> lease when met with the </w:t>
      </w:r>
      <w:r w:rsidRPr="003F1404">
        <w:rPr>
          <w:rFonts w:cs="Times New Roman"/>
          <w:szCs w:val="24"/>
        </w:rPr>
        <w:t>stated principles</w:t>
      </w:r>
      <w:r w:rsidR="006C600E" w:rsidRPr="003F1404">
        <w:rPr>
          <w:rFonts w:cs="Times New Roman"/>
          <w:szCs w:val="24"/>
        </w:rPr>
        <w:t xml:space="preserve"> </w:t>
      </w:r>
      <w:r w:rsidR="00090708" w:rsidRPr="003F1404">
        <w:rPr>
          <w:rFonts w:cs="Times New Roman"/>
          <w:szCs w:val="24"/>
        </w:rPr>
        <w:t>(Boatsman &amp; Dong, 2011)</w:t>
      </w:r>
      <w:r w:rsidR="00C42173" w:rsidRPr="003F1404">
        <w:rPr>
          <w:rFonts w:cs="Times New Roman"/>
          <w:szCs w:val="24"/>
        </w:rPr>
        <w:t>.</w:t>
      </w:r>
    </w:p>
    <w:p w14:paraId="136B3F7A" w14:textId="36B66629" w:rsidR="001B6DA7" w:rsidRPr="003F1404" w:rsidRDefault="00DA4EFA" w:rsidP="004640AE">
      <w:pPr>
        <w:jc w:val="both"/>
        <w:rPr>
          <w:rFonts w:cs="Times New Roman"/>
          <w:szCs w:val="24"/>
        </w:rPr>
      </w:pPr>
      <w:r w:rsidRPr="003F1404">
        <w:rPr>
          <w:rFonts w:cs="Times New Roman"/>
          <w:szCs w:val="24"/>
        </w:rPr>
        <w:tab/>
        <w:t xml:space="preserve">In agreements, there are always two </w:t>
      </w:r>
      <w:r w:rsidR="005F116F" w:rsidRPr="003F1404">
        <w:rPr>
          <w:rFonts w:cs="Times New Roman"/>
          <w:szCs w:val="24"/>
        </w:rPr>
        <w:t>parties</w:t>
      </w:r>
      <w:r w:rsidRPr="003F1404">
        <w:rPr>
          <w:rFonts w:cs="Times New Roman"/>
          <w:szCs w:val="24"/>
        </w:rPr>
        <w:t>; the party using the assets and the party leasing the assets.</w:t>
      </w:r>
      <w:r w:rsidR="0027348D" w:rsidRPr="003F1404">
        <w:rPr>
          <w:rFonts w:cs="Times New Roman"/>
          <w:szCs w:val="24"/>
        </w:rPr>
        <w:t xml:space="preserve"> U.S GAAP</w:t>
      </w:r>
      <w:r w:rsidR="00174E88" w:rsidRPr="003F1404">
        <w:rPr>
          <w:rFonts w:cs="Times New Roman"/>
          <w:szCs w:val="24"/>
        </w:rPr>
        <w:t xml:space="preserve"> and IFRS </w:t>
      </w:r>
      <w:r w:rsidRPr="003F1404">
        <w:rPr>
          <w:rFonts w:cs="Times New Roman"/>
          <w:szCs w:val="24"/>
        </w:rPr>
        <w:t xml:space="preserve">have </w:t>
      </w:r>
      <w:r w:rsidR="0027348D" w:rsidRPr="003F1404">
        <w:rPr>
          <w:rFonts w:cs="Times New Roman"/>
          <w:szCs w:val="24"/>
        </w:rPr>
        <w:t>strategies</w:t>
      </w:r>
      <w:r w:rsidRPr="003F1404">
        <w:rPr>
          <w:rFonts w:cs="Times New Roman"/>
          <w:szCs w:val="24"/>
        </w:rPr>
        <w:t xml:space="preserve"> and implications for the </w:t>
      </w:r>
      <w:r w:rsidR="00174E88" w:rsidRPr="003F1404">
        <w:rPr>
          <w:rFonts w:cs="Times New Roman"/>
          <w:szCs w:val="24"/>
        </w:rPr>
        <w:t>boards</w:t>
      </w:r>
      <w:r w:rsidRPr="003F1404">
        <w:rPr>
          <w:rFonts w:cs="Times New Roman"/>
          <w:szCs w:val="24"/>
        </w:rPr>
        <w:t xml:space="preserve"> involved in recovering expenses and revenues from the lease </w:t>
      </w:r>
      <w:r w:rsidR="00090708" w:rsidRPr="003F1404">
        <w:rPr>
          <w:rFonts w:cs="Times New Roman"/>
          <w:szCs w:val="24"/>
        </w:rPr>
        <w:t>(Boatsman &amp; Dong, 2011)</w:t>
      </w:r>
      <w:r w:rsidRPr="003F1404">
        <w:rPr>
          <w:rFonts w:cs="Times New Roman"/>
          <w:szCs w:val="24"/>
        </w:rPr>
        <w:t xml:space="preserve">. The lessee handles the rewards and the risks of </w:t>
      </w:r>
      <w:r w:rsidR="0027348D" w:rsidRPr="003F1404">
        <w:rPr>
          <w:rFonts w:cs="Times New Roman"/>
          <w:szCs w:val="24"/>
        </w:rPr>
        <w:t>possession</w:t>
      </w:r>
      <w:r w:rsidRPr="003F1404">
        <w:rPr>
          <w:rFonts w:cs="Times New Roman"/>
          <w:szCs w:val="24"/>
        </w:rPr>
        <w:t xml:space="preserve"> of the </w:t>
      </w:r>
      <w:r w:rsidR="0027348D" w:rsidRPr="003F1404">
        <w:rPr>
          <w:rFonts w:cs="Times New Roman"/>
          <w:szCs w:val="24"/>
        </w:rPr>
        <w:t>rented</w:t>
      </w:r>
      <w:r w:rsidRPr="003F1404">
        <w:rPr>
          <w:rFonts w:cs="Times New Roman"/>
          <w:szCs w:val="24"/>
        </w:rPr>
        <w:t xml:space="preserve"> asset to </w:t>
      </w:r>
      <w:r w:rsidR="0027348D" w:rsidRPr="003F1404">
        <w:rPr>
          <w:rFonts w:cs="Times New Roman"/>
          <w:szCs w:val="24"/>
        </w:rPr>
        <w:t>identify</w:t>
      </w:r>
      <w:r w:rsidRPr="003F1404">
        <w:rPr>
          <w:rFonts w:cs="Times New Roman"/>
          <w:szCs w:val="24"/>
        </w:rPr>
        <w:t xml:space="preserve"> corresponding obligations and a </w:t>
      </w:r>
      <w:r w:rsidR="0027348D" w:rsidRPr="003F1404">
        <w:rPr>
          <w:rFonts w:cs="Times New Roman"/>
          <w:szCs w:val="24"/>
        </w:rPr>
        <w:t>let</w:t>
      </w:r>
      <w:r w:rsidRPr="003F1404">
        <w:rPr>
          <w:rFonts w:cs="Times New Roman"/>
          <w:szCs w:val="24"/>
        </w:rPr>
        <w:t xml:space="preserve"> asset. In other words, the </w:t>
      </w:r>
      <w:r w:rsidR="005F116F" w:rsidRPr="003F1404">
        <w:rPr>
          <w:rFonts w:cs="Times New Roman"/>
          <w:szCs w:val="24"/>
        </w:rPr>
        <w:t>lessee</w:t>
      </w:r>
      <w:r w:rsidRPr="003F1404">
        <w:rPr>
          <w:rFonts w:cs="Times New Roman"/>
          <w:szCs w:val="24"/>
        </w:rPr>
        <w:t xml:space="preserve"> </w:t>
      </w:r>
      <w:r w:rsidR="005F116F" w:rsidRPr="003F1404">
        <w:rPr>
          <w:rFonts w:cs="Times New Roman"/>
          <w:szCs w:val="24"/>
        </w:rPr>
        <w:t>possesses</w:t>
      </w:r>
      <w:r w:rsidRPr="003F1404">
        <w:rPr>
          <w:rFonts w:cs="Times New Roman"/>
          <w:szCs w:val="24"/>
        </w:rPr>
        <w:t xml:space="preserve"> the support, and the lessor accounts for revenue and rent expenses </w:t>
      </w:r>
      <w:r w:rsidR="0027348D" w:rsidRPr="003F1404">
        <w:rPr>
          <w:rFonts w:cs="Times New Roman"/>
          <w:szCs w:val="24"/>
        </w:rPr>
        <w:t>alike</w:t>
      </w:r>
      <w:r w:rsidRPr="003F1404">
        <w:rPr>
          <w:rFonts w:cs="Times New Roman"/>
          <w:szCs w:val="24"/>
        </w:rPr>
        <w:t xml:space="preserve"> to how the other party would a</w:t>
      </w:r>
      <w:r w:rsidR="0027348D" w:rsidRPr="003F1404">
        <w:rPr>
          <w:rFonts w:cs="Times New Roman"/>
          <w:szCs w:val="24"/>
        </w:rPr>
        <w:t>cknowledge</w:t>
      </w:r>
      <w:r w:rsidRPr="003F1404">
        <w:rPr>
          <w:rFonts w:cs="Times New Roman"/>
          <w:szCs w:val="24"/>
        </w:rPr>
        <w:t xml:space="preserve"> such </w:t>
      </w:r>
      <w:r w:rsidR="0027348D" w:rsidRPr="003F1404">
        <w:rPr>
          <w:rFonts w:cs="Times New Roman"/>
          <w:szCs w:val="24"/>
        </w:rPr>
        <w:t>quantities</w:t>
      </w:r>
      <w:r w:rsidR="005F116F" w:rsidRPr="003F1404">
        <w:rPr>
          <w:rFonts w:cs="Times New Roman"/>
          <w:szCs w:val="24"/>
        </w:rPr>
        <w:t>. However,</w:t>
      </w:r>
      <w:r w:rsidR="002A3A5E" w:rsidRPr="003F1404">
        <w:rPr>
          <w:rFonts w:cs="Times New Roman"/>
          <w:szCs w:val="24"/>
        </w:rPr>
        <w:t xml:space="preserve"> if the </w:t>
      </w:r>
      <w:r w:rsidR="0027348D" w:rsidRPr="003F1404">
        <w:rPr>
          <w:rFonts w:cs="Times New Roman"/>
          <w:szCs w:val="24"/>
        </w:rPr>
        <w:t>tenancy</w:t>
      </w:r>
      <w:r w:rsidR="002A3A5E" w:rsidRPr="003F1404">
        <w:rPr>
          <w:rFonts w:cs="Times New Roman"/>
          <w:szCs w:val="24"/>
        </w:rPr>
        <w:t xml:space="preserve"> is direct or </w:t>
      </w:r>
      <w:r w:rsidR="005F116F" w:rsidRPr="003F1404">
        <w:rPr>
          <w:rFonts w:cs="Times New Roman"/>
          <w:szCs w:val="24"/>
        </w:rPr>
        <w:t>sales</w:t>
      </w:r>
      <w:r w:rsidR="002A3A5E" w:rsidRPr="003F1404">
        <w:rPr>
          <w:rFonts w:cs="Times New Roman"/>
          <w:szCs w:val="24"/>
        </w:rPr>
        <w:t xml:space="preserve">-type </w:t>
      </w:r>
      <w:r w:rsidR="00B80587" w:rsidRPr="003F1404">
        <w:rPr>
          <w:rFonts w:cs="Times New Roman"/>
          <w:szCs w:val="24"/>
        </w:rPr>
        <w:t>funding</w:t>
      </w:r>
      <w:r w:rsidR="002A3A5E" w:rsidRPr="003F1404">
        <w:rPr>
          <w:rFonts w:cs="Times New Roman"/>
          <w:szCs w:val="24"/>
        </w:rPr>
        <w:t xml:space="preserve">, the asset is </w:t>
      </w:r>
      <w:r w:rsidR="00B80587" w:rsidRPr="003F1404">
        <w:rPr>
          <w:rFonts w:cs="Times New Roman"/>
          <w:szCs w:val="24"/>
        </w:rPr>
        <w:t>substituted</w:t>
      </w:r>
      <w:r w:rsidR="002A3A5E" w:rsidRPr="003F1404">
        <w:rPr>
          <w:rFonts w:cs="Times New Roman"/>
          <w:szCs w:val="24"/>
        </w:rPr>
        <w:t xml:space="preserve"> with lease </w:t>
      </w:r>
      <w:r w:rsidR="005F116F" w:rsidRPr="003F1404">
        <w:rPr>
          <w:rFonts w:cs="Times New Roman"/>
          <w:szCs w:val="24"/>
        </w:rPr>
        <w:t xml:space="preserve">receivable. </w:t>
      </w:r>
      <w:r w:rsidR="002A3A5E" w:rsidRPr="003F1404">
        <w:rPr>
          <w:rFonts w:cs="Times New Roman"/>
          <w:szCs w:val="24"/>
        </w:rPr>
        <w:t xml:space="preserve">Accounting for leases is a </w:t>
      </w:r>
      <w:r w:rsidR="005F116F" w:rsidRPr="003F1404">
        <w:rPr>
          <w:rFonts w:cs="Times New Roman"/>
          <w:szCs w:val="24"/>
        </w:rPr>
        <w:t>complex</w:t>
      </w:r>
      <w:r w:rsidR="002A3A5E" w:rsidRPr="003F1404">
        <w:rPr>
          <w:rFonts w:cs="Times New Roman"/>
          <w:szCs w:val="24"/>
        </w:rPr>
        <w:t xml:space="preserve"> process for the lessor and the lessee because of reporting the classifications and requirements.</w:t>
      </w:r>
    </w:p>
    <w:p w14:paraId="30662BB7" w14:textId="40BDA918" w:rsidR="002A3A5E" w:rsidRPr="003F1404" w:rsidRDefault="00DA4EFA" w:rsidP="004640AE">
      <w:pPr>
        <w:jc w:val="both"/>
        <w:rPr>
          <w:rFonts w:cs="Times New Roman"/>
          <w:szCs w:val="24"/>
        </w:rPr>
      </w:pPr>
      <w:r w:rsidRPr="003F1404">
        <w:rPr>
          <w:rFonts w:cs="Times New Roman"/>
          <w:szCs w:val="24"/>
        </w:rPr>
        <w:lastRenderedPageBreak/>
        <w:tab/>
        <w:t xml:space="preserve">Timing accounts for the critical part of lease accounting: it states the </w:t>
      </w:r>
      <w:r w:rsidR="005F116F" w:rsidRPr="003F1404">
        <w:rPr>
          <w:rFonts w:cs="Times New Roman"/>
          <w:szCs w:val="24"/>
        </w:rPr>
        <w:t>lease period</w:t>
      </w:r>
      <w:r w:rsidRPr="003F1404">
        <w:rPr>
          <w:rFonts w:cs="Times New Roman"/>
          <w:szCs w:val="24"/>
        </w:rPr>
        <w:t xml:space="preserve"> and how </w:t>
      </w:r>
      <w:r w:rsidR="005F116F" w:rsidRPr="003F1404">
        <w:rPr>
          <w:rFonts w:cs="Times New Roman"/>
          <w:szCs w:val="24"/>
        </w:rPr>
        <w:t>payments</w:t>
      </w:r>
      <w:r w:rsidRPr="003F1404">
        <w:rPr>
          <w:rFonts w:cs="Times New Roman"/>
          <w:szCs w:val="24"/>
        </w:rPr>
        <w:t xml:space="preserve"> are </w:t>
      </w:r>
      <w:r w:rsidR="00B80587" w:rsidRPr="003F1404">
        <w:rPr>
          <w:rFonts w:cs="Times New Roman"/>
          <w:szCs w:val="24"/>
        </w:rPr>
        <w:t>separated</w:t>
      </w:r>
      <w:r w:rsidR="005F116F" w:rsidRPr="003F1404">
        <w:rPr>
          <w:rFonts w:cs="Times New Roman"/>
          <w:szCs w:val="24"/>
        </w:rPr>
        <w:t>. The</w:t>
      </w:r>
      <w:r w:rsidRPr="003F1404">
        <w:rPr>
          <w:rFonts w:cs="Times New Roman"/>
          <w:szCs w:val="24"/>
        </w:rPr>
        <w:t xml:space="preserve"> primary </w:t>
      </w:r>
      <w:r w:rsidR="00B80587" w:rsidRPr="003F1404">
        <w:rPr>
          <w:rFonts w:cs="Times New Roman"/>
          <w:szCs w:val="24"/>
        </w:rPr>
        <w:t>aim</w:t>
      </w:r>
      <w:r w:rsidRPr="003F1404">
        <w:rPr>
          <w:rFonts w:cs="Times New Roman"/>
          <w:szCs w:val="24"/>
        </w:rPr>
        <w:t xml:space="preserve"> of </w:t>
      </w:r>
      <w:r w:rsidR="00B80587" w:rsidRPr="003F1404">
        <w:rPr>
          <w:rFonts w:cs="Times New Roman"/>
          <w:szCs w:val="24"/>
        </w:rPr>
        <w:t>monetary</w:t>
      </w:r>
      <w:r w:rsidRPr="003F1404">
        <w:rPr>
          <w:rFonts w:cs="Times New Roman"/>
          <w:szCs w:val="24"/>
        </w:rPr>
        <w:t xml:space="preserve"> reporting under US GAP and IFRS is allowing the user of the </w:t>
      </w:r>
      <w:r w:rsidR="00174E88" w:rsidRPr="003F1404">
        <w:rPr>
          <w:rFonts w:cs="Times New Roman"/>
          <w:szCs w:val="24"/>
        </w:rPr>
        <w:t>monetary</w:t>
      </w:r>
      <w:r w:rsidRPr="003F1404">
        <w:rPr>
          <w:rFonts w:cs="Times New Roman"/>
          <w:szCs w:val="24"/>
        </w:rPr>
        <w:t xml:space="preserve"> sta</w:t>
      </w:r>
      <w:r w:rsidR="005F116F" w:rsidRPr="003F1404">
        <w:rPr>
          <w:rFonts w:cs="Times New Roman"/>
          <w:szCs w:val="24"/>
        </w:rPr>
        <w:t>te</w:t>
      </w:r>
      <w:r w:rsidRPr="003F1404">
        <w:rPr>
          <w:rFonts w:cs="Times New Roman"/>
          <w:szCs w:val="24"/>
        </w:rPr>
        <w:t xml:space="preserve">ments to </w:t>
      </w:r>
      <w:r w:rsidR="005F116F" w:rsidRPr="003F1404">
        <w:rPr>
          <w:rFonts w:cs="Times New Roman"/>
          <w:szCs w:val="24"/>
        </w:rPr>
        <w:t>evaluate</w:t>
      </w:r>
      <w:r w:rsidRPr="003F1404">
        <w:rPr>
          <w:rFonts w:cs="Times New Roman"/>
          <w:szCs w:val="24"/>
        </w:rPr>
        <w:t xml:space="preserve"> the </w:t>
      </w:r>
      <w:r w:rsidR="005F116F" w:rsidRPr="003F1404">
        <w:rPr>
          <w:rFonts w:cs="Times New Roman"/>
          <w:szCs w:val="24"/>
        </w:rPr>
        <w:t>risks,</w:t>
      </w:r>
      <w:r w:rsidR="00174E88" w:rsidRPr="003F1404">
        <w:rPr>
          <w:rFonts w:cs="Times New Roman"/>
          <w:szCs w:val="24"/>
        </w:rPr>
        <w:t xml:space="preserve"> the number of cash flows</w:t>
      </w:r>
      <w:r w:rsidRPr="003F1404">
        <w:rPr>
          <w:rFonts w:cs="Times New Roman"/>
          <w:szCs w:val="24"/>
        </w:rPr>
        <w:t xml:space="preserve">, and the </w:t>
      </w:r>
      <w:r w:rsidR="00174E88" w:rsidRPr="003F1404">
        <w:rPr>
          <w:rFonts w:cs="Times New Roman"/>
          <w:szCs w:val="24"/>
        </w:rPr>
        <w:t xml:space="preserve">timing </w:t>
      </w:r>
      <w:r w:rsidRPr="003F1404">
        <w:rPr>
          <w:rFonts w:cs="Times New Roman"/>
          <w:szCs w:val="24"/>
        </w:rPr>
        <w:t>(Shamroc,</w:t>
      </w:r>
      <w:r w:rsidR="005F116F" w:rsidRPr="003F1404">
        <w:rPr>
          <w:rFonts w:cs="Times New Roman"/>
          <w:szCs w:val="24"/>
        </w:rPr>
        <w:t>2012, p.</w:t>
      </w:r>
      <w:r w:rsidRPr="003F1404">
        <w:rPr>
          <w:rFonts w:cs="Times New Roman"/>
          <w:szCs w:val="24"/>
        </w:rPr>
        <w:t>59</w:t>
      </w:r>
      <w:r w:rsidR="005F116F" w:rsidRPr="003F1404">
        <w:rPr>
          <w:rFonts w:cs="Times New Roman"/>
          <w:szCs w:val="24"/>
        </w:rPr>
        <w:t>). timing</w:t>
      </w:r>
      <w:r w:rsidRPr="003F1404">
        <w:rPr>
          <w:rFonts w:cs="Times New Roman"/>
          <w:szCs w:val="24"/>
        </w:rPr>
        <w:t xml:space="preserve">, in this case, is very confident due to the distinct </w:t>
      </w:r>
      <w:r w:rsidR="00174E88" w:rsidRPr="003F1404">
        <w:rPr>
          <w:rFonts w:cs="Times New Roman"/>
          <w:szCs w:val="24"/>
        </w:rPr>
        <w:t>eras</w:t>
      </w:r>
      <w:r w:rsidRPr="003F1404">
        <w:rPr>
          <w:rFonts w:cs="Times New Roman"/>
          <w:szCs w:val="24"/>
        </w:rPr>
        <w:t xml:space="preserve"> where rent revenue and rent expenses can be noted. In exceptional circumstances, </w:t>
      </w:r>
      <w:r w:rsidR="005F116F" w:rsidRPr="003F1404">
        <w:rPr>
          <w:rFonts w:cs="Times New Roman"/>
          <w:szCs w:val="24"/>
        </w:rPr>
        <w:t>leases can</w:t>
      </w:r>
      <w:r w:rsidRPr="003F1404">
        <w:rPr>
          <w:rFonts w:cs="Times New Roman"/>
          <w:szCs w:val="24"/>
        </w:rPr>
        <w:t xml:space="preserve"> elect the utilization of </w:t>
      </w:r>
      <w:r w:rsidR="00B80587" w:rsidRPr="003F1404">
        <w:rPr>
          <w:rFonts w:cs="Times New Roman"/>
          <w:szCs w:val="24"/>
        </w:rPr>
        <w:t>reduced</w:t>
      </w:r>
      <w:r w:rsidRPr="003F1404">
        <w:rPr>
          <w:rFonts w:cs="Times New Roman"/>
          <w:szCs w:val="24"/>
        </w:rPr>
        <w:t xml:space="preserve"> renewal </w:t>
      </w:r>
      <w:r w:rsidR="005F116F" w:rsidRPr="003F1404">
        <w:rPr>
          <w:rFonts w:cs="Times New Roman"/>
          <w:szCs w:val="24"/>
        </w:rPr>
        <w:t>choices. This</w:t>
      </w:r>
      <w:r w:rsidRPr="003F1404">
        <w:rPr>
          <w:rFonts w:cs="Times New Roman"/>
          <w:szCs w:val="24"/>
        </w:rPr>
        <w:t xml:space="preserve"> </w:t>
      </w:r>
      <w:r w:rsidR="00B80587" w:rsidRPr="003F1404">
        <w:rPr>
          <w:rFonts w:cs="Times New Roman"/>
          <w:szCs w:val="24"/>
        </w:rPr>
        <w:t>choice</w:t>
      </w:r>
      <w:r w:rsidRPr="003F1404">
        <w:rPr>
          <w:rFonts w:cs="Times New Roman"/>
          <w:szCs w:val="24"/>
        </w:rPr>
        <w:t xml:space="preserve"> offers the </w:t>
      </w:r>
      <w:r w:rsidR="00B80587" w:rsidRPr="003F1404">
        <w:rPr>
          <w:rFonts w:cs="Times New Roman"/>
          <w:szCs w:val="24"/>
        </w:rPr>
        <w:t>renter</w:t>
      </w:r>
      <w:r w:rsidRPr="003F1404">
        <w:rPr>
          <w:rFonts w:cs="Times New Roman"/>
          <w:szCs w:val="24"/>
        </w:rPr>
        <w:t xml:space="preserve"> the chance to </w:t>
      </w:r>
      <w:r w:rsidR="00B80587" w:rsidRPr="003F1404">
        <w:rPr>
          <w:rFonts w:cs="Times New Roman"/>
          <w:szCs w:val="24"/>
        </w:rPr>
        <w:t>reintroduce</w:t>
      </w:r>
      <w:r w:rsidRPr="003F1404">
        <w:rPr>
          <w:rFonts w:cs="Times New Roman"/>
          <w:szCs w:val="24"/>
        </w:rPr>
        <w:t xml:space="preserve"> the lease, or the </w:t>
      </w:r>
      <w:r w:rsidR="00B80587" w:rsidRPr="003F1404">
        <w:rPr>
          <w:rFonts w:cs="Times New Roman"/>
          <w:szCs w:val="24"/>
        </w:rPr>
        <w:t>renter</w:t>
      </w:r>
      <w:r w:rsidRPr="003F1404">
        <w:rPr>
          <w:rFonts w:cs="Times New Roman"/>
          <w:szCs w:val="24"/>
        </w:rPr>
        <w:t xml:space="preserve"> can purchase the </w:t>
      </w:r>
      <w:r w:rsidR="00B80587" w:rsidRPr="003F1404">
        <w:rPr>
          <w:rFonts w:cs="Times New Roman"/>
          <w:szCs w:val="24"/>
        </w:rPr>
        <w:t>property</w:t>
      </w:r>
      <w:r w:rsidRPr="003F1404">
        <w:rPr>
          <w:rFonts w:cs="Times New Roman"/>
          <w:szCs w:val="24"/>
        </w:rPr>
        <w:t xml:space="preserve"> at a bargained rate, thus transferring the ownership rights to the lessee</w:t>
      </w:r>
      <w:r w:rsidR="00090708" w:rsidRPr="003F1404">
        <w:rPr>
          <w:rFonts w:cs="Times New Roman"/>
          <w:szCs w:val="24"/>
        </w:rPr>
        <w:t xml:space="preserve"> (Hales et al., 2011)</w:t>
      </w:r>
      <w:r w:rsidRPr="003F1404">
        <w:rPr>
          <w:rFonts w:cs="Times New Roman"/>
          <w:szCs w:val="24"/>
        </w:rPr>
        <w:t>.</w:t>
      </w:r>
      <w:r w:rsidR="005F116F" w:rsidRPr="003F1404">
        <w:rPr>
          <w:rFonts w:cs="Times New Roman"/>
          <w:szCs w:val="24"/>
        </w:rPr>
        <w:t xml:space="preserve"> differentiating leases</w:t>
      </w:r>
      <w:r w:rsidRPr="003F1404">
        <w:rPr>
          <w:rFonts w:cs="Times New Roman"/>
          <w:szCs w:val="24"/>
        </w:rPr>
        <w:t xml:space="preserve"> </w:t>
      </w:r>
      <w:r w:rsidR="00B80587" w:rsidRPr="003F1404">
        <w:rPr>
          <w:rFonts w:cs="Times New Roman"/>
          <w:szCs w:val="24"/>
        </w:rPr>
        <w:t>on</w:t>
      </w:r>
      <w:r w:rsidRPr="003F1404">
        <w:rPr>
          <w:rFonts w:cs="Times New Roman"/>
          <w:szCs w:val="24"/>
        </w:rPr>
        <w:t xml:space="preserve"> </w:t>
      </w:r>
      <w:r w:rsidR="005D1F0F" w:rsidRPr="003F1404">
        <w:rPr>
          <w:rFonts w:cs="Times New Roman"/>
          <w:szCs w:val="24"/>
        </w:rPr>
        <w:t xml:space="preserve">U.S GAAP and IFRS are </w:t>
      </w:r>
      <w:r w:rsidR="00B80587" w:rsidRPr="003F1404">
        <w:rPr>
          <w:rFonts w:cs="Times New Roman"/>
          <w:szCs w:val="24"/>
        </w:rPr>
        <w:t>easy</w:t>
      </w:r>
      <w:r w:rsidR="005F116F" w:rsidRPr="003F1404">
        <w:rPr>
          <w:rFonts w:cs="Times New Roman"/>
          <w:szCs w:val="24"/>
        </w:rPr>
        <w:t>. On</w:t>
      </w:r>
      <w:r w:rsidR="005D1F0F" w:rsidRPr="003F1404">
        <w:rPr>
          <w:rFonts w:cs="Times New Roman"/>
          <w:szCs w:val="24"/>
        </w:rPr>
        <w:t xml:space="preserve"> the other </w:t>
      </w:r>
      <w:r w:rsidR="005F116F" w:rsidRPr="003F1404">
        <w:rPr>
          <w:rFonts w:cs="Times New Roman"/>
          <w:szCs w:val="24"/>
        </w:rPr>
        <w:t>hand,</w:t>
      </w:r>
      <w:r w:rsidR="005D1F0F" w:rsidRPr="003F1404">
        <w:rPr>
          <w:rFonts w:cs="Times New Roman"/>
          <w:szCs w:val="24"/>
        </w:rPr>
        <w:t xml:space="preserve"> U.S GAAP </w:t>
      </w:r>
      <w:r w:rsidR="00B80587" w:rsidRPr="003F1404">
        <w:rPr>
          <w:rFonts w:cs="Times New Roman"/>
          <w:szCs w:val="24"/>
        </w:rPr>
        <w:t xml:space="preserve">building </w:t>
      </w:r>
      <w:r w:rsidR="005D1F0F" w:rsidRPr="003F1404">
        <w:rPr>
          <w:rFonts w:cs="Times New Roman"/>
          <w:szCs w:val="24"/>
        </w:rPr>
        <w:t>and buil</w:t>
      </w:r>
      <w:r w:rsidR="00B80587" w:rsidRPr="003F1404">
        <w:rPr>
          <w:rFonts w:cs="Times New Roman"/>
          <w:szCs w:val="24"/>
        </w:rPr>
        <w:t xml:space="preserve">ding </w:t>
      </w:r>
      <w:r w:rsidR="005D1F0F" w:rsidRPr="003F1404">
        <w:rPr>
          <w:rFonts w:cs="Times New Roman"/>
          <w:szCs w:val="24"/>
        </w:rPr>
        <w:t xml:space="preserve">elements are </w:t>
      </w:r>
      <w:r w:rsidR="00B80587" w:rsidRPr="003F1404">
        <w:rPr>
          <w:rFonts w:cs="Times New Roman"/>
          <w:szCs w:val="24"/>
        </w:rPr>
        <w:t>reported</w:t>
      </w:r>
      <w:r w:rsidR="005D1F0F" w:rsidRPr="003F1404">
        <w:rPr>
          <w:rFonts w:cs="Times New Roman"/>
          <w:szCs w:val="24"/>
        </w:rPr>
        <w:t xml:space="preserve"> </w:t>
      </w:r>
      <w:r w:rsidR="00B80587" w:rsidRPr="003F1404">
        <w:rPr>
          <w:rFonts w:cs="Times New Roman"/>
          <w:szCs w:val="24"/>
        </w:rPr>
        <w:t>distinctly</w:t>
      </w:r>
      <w:r w:rsidR="005D1F0F" w:rsidRPr="003F1404">
        <w:rPr>
          <w:rFonts w:cs="Times New Roman"/>
          <w:szCs w:val="24"/>
        </w:rPr>
        <w:t xml:space="preserve"> when evaluating the indicators.</w:t>
      </w:r>
    </w:p>
    <w:p w14:paraId="17DDC5BA" w14:textId="3BAC2790" w:rsidR="00496B86" w:rsidRPr="003F1404" w:rsidRDefault="00DA4EFA" w:rsidP="004640AE">
      <w:pPr>
        <w:jc w:val="both"/>
        <w:rPr>
          <w:rFonts w:cs="Times New Roman"/>
          <w:szCs w:val="24"/>
        </w:rPr>
      </w:pPr>
      <w:r w:rsidRPr="003F1404">
        <w:rPr>
          <w:rFonts w:cs="Times New Roman"/>
          <w:szCs w:val="24"/>
        </w:rPr>
        <w:tab/>
        <w:t xml:space="preserve">The two boards have been working </w:t>
      </w:r>
      <w:r w:rsidR="005F116F" w:rsidRPr="003F1404">
        <w:rPr>
          <w:rFonts w:cs="Times New Roman"/>
          <w:szCs w:val="24"/>
        </w:rPr>
        <w:t>together to</w:t>
      </w:r>
      <w:r w:rsidRPr="003F1404">
        <w:rPr>
          <w:rFonts w:cs="Times New Roman"/>
          <w:szCs w:val="24"/>
        </w:rPr>
        <w:t xml:space="preserve"> eliminate their difference to facilitate the convergence of IFRS and U.S GAAP. To align the </w:t>
      </w:r>
      <w:r w:rsidR="00B80587" w:rsidRPr="003F1404">
        <w:rPr>
          <w:rFonts w:cs="Times New Roman"/>
          <w:szCs w:val="24"/>
        </w:rPr>
        <w:t>dual</w:t>
      </w:r>
      <w:r w:rsidRPr="003F1404">
        <w:rPr>
          <w:rFonts w:cs="Times New Roman"/>
          <w:szCs w:val="24"/>
        </w:rPr>
        <w:t xml:space="preserve"> sets of </w:t>
      </w:r>
      <w:r w:rsidR="00B80587" w:rsidRPr="003F1404">
        <w:rPr>
          <w:rFonts w:cs="Times New Roman"/>
          <w:szCs w:val="24"/>
        </w:rPr>
        <w:t>values</w:t>
      </w:r>
      <w:r w:rsidRPr="003F1404">
        <w:rPr>
          <w:rFonts w:cs="Times New Roman"/>
          <w:szCs w:val="24"/>
        </w:rPr>
        <w:t xml:space="preserve">, in </w:t>
      </w:r>
      <w:r w:rsidR="00B80587" w:rsidRPr="003F1404">
        <w:rPr>
          <w:rFonts w:cs="Times New Roman"/>
          <w:szCs w:val="24"/>
        </w:rPr>
        <w:t>Jan</w:t>
      </w:r>
      <w:r w:rsidRPr="003F1404">
        <w:rPr>
          <w:rFonts w:cs="Times New Roman"/>
          <w:szCs w:val="24"/>
        </w:rPr>
        <w:t xml:space="preserve"> 2016, IFRS and IASB released an update termed </w:t>
      </w:r>
      <w:r w:rsidR="005F116F" w:rsidRPr="003F1404">
        <w:rPr>
          <w:rFonts w:cs="Times New Roman"/>
          <w:szCs w:val="24"/>
        </w:rPr>
        <w:t>16 leases. In</w:t>
      </w:r>
      <w:r w:rsidRPr="003F1404">
        <w:rPr>
          <w:rFonts w:cs="Times New Roman"/>
          <w:szCs w:val="24"/>
        </w:rPr>
        <w:t xml:space="preserve"> this update, the IASB outlined measures </w:t>
      </w:r>
      <w:r w:rsidR="005F116F" w:rsidRPr="003F1404">
        <w:rPr>
          <w:rFonts w:cs="Times New Roman"/>
          <w:szCs w:val="24"/>
        </w:rPr>
        <w:t>on how the lessor and the lessee are required to present, action, disclose and recognize standards. The pronouncement introduced an accounting model in which the lessee must identify the liabilities and assets for all leases within one year.</w:t>
      </w:r>
    </w:p>
    <w:p w14:paraId="54CB3651" w14:textId="10D7A9D9" w:rsidR="005F116F" w:rsidRPr="003F1404" w:rsidRDefault="00DA4EFA" w:rsidP="00AB6EBF">
      <w:pPr>
        <w:pStyle w:val="Heading2"/>
        <w:jc w:val="center"/>
        <w:rPr>
          <w:rFonts w:ascii="Times New Roman" w:hAnsi="Times New Roman" w:cs="Times New Roman"/>
          <w:color w:val="auto"/>
          <w:sz w:val="24"/>
          <w:szCs w:val="24"/>
        </w:rPr>
      </w:pPr>
      <w:bookmarkStart w:id="8" w:name="_Toc84784225"/>
      <w:r w:rsidRPr="003F1404">
        <w:rPr>
          <w:rFonts w:ascii="Times New Roman" w:hAnsi="Times New Roman" w:cs="Times New Roman"/>
          <w:b/>
          <w:bCs/>
          <w:color w:val="auto"/>
          <w:sz w:val="24"/>
          <w:szCs w:val="24"/>
        </w:rPr>
        <w:t>Conclusion</w:t>
      </w:r>
      <w:bookmarkEnd w:id="8"/>
    </w:p>
    <w:p w14:paraId="3AC32FB8" w14:textId="3F643C19" w:rsidR="005F116F" w:rsidRPr="003F1404" w:rsidRDefault="00DA4EFA" w:rsidP="005F116F">
      <w:pPr>
        <w:ind w:firstLine="720"/>
        <w:rPr>
          <w:rFonts w:cs="Times New Roman"/>
          <w:szCs w:val="24"/>
        </w:rPr>
      </w:pPr>
      <w:r w:rsidRPr="003F1404">
        <w:rPr>
          <w:rFonts w:cs="Times New Roman"/>
          <w:szCs w:val="24"/>
        </w:rPr>
        <w:t xml:space="preserve">This </w:t>
      </w:r>
      <w:r w:rsidR="00B80587" w:rsidRPr="003F1404">
        <w:rPr>
          <w:rFonts w:cs="Times New Roman"/>
          <w:szCs w:val="24"/>
        </w:rPr>
        <w:t xml:space="preserve">paper </w:t>
      </w:r>
      <w:r w:rsidRPr="003F1404">
        <w:rPr>
          <w:rFonts w:cs="Times New Roman"/>
          <w:szCs w:val="24"/>
        </w:rPr>
        <w:t xml:space="preserve">aimed to undertake a </w:t>
      </w:r>
      <w:r w:rsidR="00B80587" w:rsidRPr="003F1404">
        <w:rPr>
          <w:rFonts w:cs="Times New Roman"/>
          <w:szCs w:val="24"/>
        </w:rPr>
        <w:t>proportional</w:t>
      </w:r>
      <w:r w:rsidRPr="003F1404">
        <w:rPr>
          <w:rFonts w:cs="Times New Roman"/>
          <w:szCs w:val="24"/>
        </w:rPr>
        <w:t xml:space="preserve"> </w:t>
      </w:r>
      <w:r w:rsidR="00B80587" w:rsidRPr="003F1404">
        <w:rPr>
          <w:rFonts w:cs="Times New Roman"/>
          <w:szCs w:val="24"/>
        </w:rPr>
        <w:t>examination</w:t>
      </w:r>
      <w:r w:rsidRPr="003F1404">
        <w:rPr>
          <w:rFonts w:cs="Times New Roman"/>
          <w:szCs w:val="24"/>
        </w:rPr>
        <w:t xml:space="preserve"> of IFRS and U.S GAAP regarding </w:t>
      </w:r>
      <w:r w:rsidR="00174E88" w:rsidRPr="003F1404">
        <w:rPr>
          <w:rFonts w:cs="Times New Roman"/>
          <w:szCs w:val="24"/>
        </w:rPr>
        <w:t>computing</w:t>
      </w:r>
      <w:r w:rsidRPr="003F1404">
        <w:rPr>
          <w:rFonts w:cs="Times New Roman"/>
          <w:szCs w:val="24"/>
        </w:rPr>
        <w:t xml:space="preserve"> for leases. In general, the convergence of</w:t>
      </w:r>
      <w:r w:rsidR="00174E88" w:rsidRPr="003F1404">
        <w:rPr>
          <w:rFonts w:cs="Times New Roman"/>
          <w:szCs w:val="24"/>
        </w:rPr>
        <w:t xml:space="preserve"> IASB</w:t>
      </w:r>
      <w:r w:rsidRPr="003F1404">
        <w:rPr>
          <w:rFonts w:cs="Times New Roman"/>
          <w:szCs w:val="24"/>
        </w:rPr>
        <w:t xml:space="preserve"> and </w:t>
      </w:r>
      <w:r w:rsidR="00174E88" w:rsidRPr="003F1404">
        <w:rPr>
          <w:rFonts w:cs="Times New Roman"/>
          <w:szCs w:val="24"/>
        </w:rPr>
        <w:t xml:space="preserve">FASB </w:t>
      </w:r>
      <w:r w:rsidRPr="003F1404">
        <w:rPr>
          <w:rFonts w:cs="Times New Roman"/>
          <w:szCs w:val="24"/>
        </w:rPr>
        <w:t xml:space="preserve">will bring massive improvement over the existing models. The move from the ownership model to the right of use </w:t>
      </w:r>
      <w:r w:rsidR="00B80587" w:rsidRPr="003F1404">
        <w:rPr>
          <w:rFonts w:cs="Times New Roman"/>
          <w:szCs w:val="24"/>
        </w:rPr>
        <w:t>classical</w:t>
      </w:r>
      <w:r w:rsidRPr="003F1404">
        <w:rPr>
          <w:rFonts w:cs="Times New Roman"/>
          <w:szCs w:val="24"/>
        </w:rPr>
        <w:t xml:space="preserve"> handles most of the </w:t>
      </w:r>
      <w:r w:rsidR="00B80587" w:rsidRPr="003F1404">
        <w:rPr>
          <w:rFonts w:cs="Times New Roman"/>
          <w:szCs w:val="24"/>
        </w:rPr>
        <w:t>present</w:t>
      </w:r>
      <w:r w:rsidRPr="003F1404">
        <w:rPr>
          <w:rFonts w:cs="Times New Roman"/>
          <w:szCs w:val="24"/>
        </w:rPr>
        <w:t xml:space="preserve"> models' discrepancies. by removing the difference between operating capital and removing the line test, there will be increased transparency in financial reporting resulting in comparability and consistency.</w:t>
      </w:r>
    </w:p>
    <w:p w14:paraId="0ADC8116" w14:textId="55DDB848" w:rsidR="00DF4596" w:rsidRPr="003F1404" w:rsidRDefault="00DA4EFA" w:rsidP="002A4ABA">
      <w:pPr>
        <w:rPr>
          <w:rFonts w:cs="Times New Roman"/>
          <w:szCs w:val="24"/>
        </w:rPr>
      </w:pPr>
      <w:r w:rsidRPr="003F1404">
        <w:rPr>
          <w:rFonts w:cs="Times New Roman"/>
          <w:szCs w:val="24"/>
        </w:rPr>
        <w:tab/>
      </w:r>
    </w:p>
    <w:p w14:paraId="35F38E94" w14:textId="5BB1973C" w:rsidR="00090708" w:rsidRPr="003F1404" w:rsidRDefault="00090708" w:rsidP="002A4ABA">
      <w:pPr>
        <w:rPr>
          <w:rFonts w:cs="Times New Roman"/>
          <w:szCs w:val="24"/>
        </w:rPr>
      </w:pPr>
    </w:p>
    <w:p w14:paraId="4703BFF9" w14:textId="75E891DD" w:rsidR="00090708" w:rsidRPr="003F1404" w:rsidRDefault="00090708" w:rsidP="002A4ABA">
      <w:pPr>
        <w:rPr>
          <w:rFonts w:cs="Times New Roman"/>
          <w:szCs w:val="24"/>
        </w:rPr>
      </w:pPr>
    </w:p>
    <w:p w14:paraId="7630C664" w14:textId="4837D4F3" w:rsidR="00090708" w:rsidRPr="003F1404" w:rsidRDefault="00090708" w:rsidP="002A4ABA">
      <w:pPr>
        <w:rPr>
          <w:rFonts w:cs="Times New Roman"/>
          <w:szCs w:val="24"/>
        </w:rPr>
      </w:pPr>
    </w:p>
    <w:p w14:paraId="20F15A67" w14:textId="6625D903" w:rsidR="00090708" w:rsidRPr="003F1404" w:rsidRDefault="00090708" w:rsidP="002A4ABA">
      <w:pPr>
        <w:rPr>
          <w:rFonts w:cs="Times New Roman"/>
          <w:szCs w:val="24"/>
        </w:rPr>
      </w:pPr>
    </w:p>
    <w:p w14:paraId="55033FC0" w14:textId="78B185A8" w:rsidR="00090708" w:rsidRPr="003F1404" w:rsidRDefault="00090708" w:rsidP="002A4ABA">
      <w:pPr>
        <w:rPr>
          <w:rFonts w:cs="Times New Roman"/>
          <w:szCs w:val="24"/>
        </w:rPr>
      </w:pPr>
    </w:p>
    <w:p w14:paraId="4D618739" w14:textId="318D8607" w:rsidR="00090708" w:rsidRPr="003F1404" w:rsidRDefault="00090708" w:rsidP="002A4ABA">
      <w:pPr>
        <w:rPr>
          <w:rFonts w:cs="Times New Roman"/>
          <w:szCs w:val="24"/>
        </w:rPr>
      </w:pPr>
    </w:p>
    <w:p w14:paraId="1D5B78BC" w14:textId="593394FE" w:rsidR="00090708" w:rsidRPr="003F1404" w:rsidRDefault="00090708" w:rsidP="002A4ABA">
      <w:pPr>
        <w:rPr>
          <w:rFonts w:cs="Times New Roman"/>
          <w:szCs w:val="24"/>
        </w:rPr>
      </w:pPr>
    </w:p>
    <w:p w14:paraId="2AE7C62B" w14:textId="18AA16B2" w:rsidR="00090708" w:rsidRPr="003F1404" w:rsidRDefault="00090708" w:rsidP="002A4ABA">
      <w:pPr>
        <w:rPr>
          <w:rFonts w:cs="Times New Roman"/>
          <w:szCs w:val="24"/>
        </w:rPr>
      </w:pPr>
    </w:p>
    <w:p w14:paraId="5035718C" w14:textId="2D51DB42" w:rsidR="00090708" w:rsidRPr="003F1404" w:rsidRDefault="00090708" w:rsidP="002A4ABA">
      <w:pPr>
        <w:rPr>
          <w:rFonts w:cs="Times New Roman"/>
          <w:szCs w:val="24"/>
        </w:rPr>
      </w:pPr>
    </w:p>
    <w:p w14:paraId="38552CD2" w14:textId="36A556D2" w:rsidR="00090708" w:rsidRPr="003F1404" w:rsidRDefault="00090708" w:rsidP="002A4ABA">
      <w:pPr>
        <w:rPr>
          <w:rFonts w:cs="Times New Roman"/>
          <w:szCs w:val="24"/>
        </w:rPr>
      </w:pPr>
    </w:p>
    <w:p w14:paraId="00008AAA" w14:textId="2FD43D1A" w:rsidR="00090708" w:rsidRPr="003F1404" w:rsidRDefault="00090708" w:rsidP="002A4ABA">
      <w:pPr>
        <w:rPr>
          <w:rFonts w:cs="Times New Roman"/>
          <w:szCs w:val="24"/>
        </w:rPr>
      </w:pPr>
    </w:p>
    <w:p w14:paraId="7C38E1C3" w14:textId="2D3A033B" w:rsidR="00090708" w:rsidRPr="003F1404" w:rsidRDefault="00090708" w:rsidP="002A4ABA">
      <w:pPr>
        <w:rPr>
          <w:rFonts w:cs="Times New Roman"/>
          <w:szCs w:val="24"/>
        </w:rPr>
      </w:pPr>
    </w:p>
    <w:p w14:paraId="259ABEFC" w14:textId="14DDAA36" w:rsidR="00090708" w:rsidRPr="003F1404" w:rsidRDefault="00090708" w:rsidP="002A4ABA">
      <w:pPr>
        <w:rPr>
          <w:rFonts w:cs="Times New Roman"/>
          <w:szCs w:val="24"/>
        </w:rPr>
      </w:pPr>
    </w:p>
    <w:p w14:paraId="16D78AC6" w14:textId="65F38766" w:rsidR="00090708" w:rsidRPr="003F1404" w:rsidRDefault="00090708" w:rsidP="002A4ABA">
      <w:pPr>
        <w:rPr>
          <w:rFonts w:cs="Times New Roman"/>
          <w:szCs w:val="24"/>
        </w:rPr>
      </w:pPr>
    </w:p>
    <w:p w14:paraId="4A9E3A1B" w14:textId="332806C9" w:rsidR="00090708" w:rsidRPr="003F1404" w:rsidRDefault="00090708" w:rsidP="002A4ABA">
      <w:pPr>
        <w:rPr>
          <w:rFonts w:cs="Times New Roman"/>
          <w:szCs w:val="24"/>
        </w:rPr>
      </w:pPr>
    </w:p>
    <w:p w14:paraId="219912DB" w14:textId="08751A21" w:rsidR="00090708" w:rsidRPr="003F1404" w:rsidRDefault="00090708" w:rsidP="002A4ABA">
      <w:pPr>
        <w:rPr>
          <w:rFonts w:cs="Times New Roman"/>
          <w:szCs w:val="24"/>
        </w:rPr>
      </w:pPr>
    </w:p>
    <w:p w14:paraId="0F780ACE" w14:textId="0B4337C3" w:rsidR="00090708" w:rsidRPr="003F1404" w:rsidRDefault="00090708" w:rsidP="002A4ABA">
      <w:pPr>
        <w:rPr>
          <w:rFonts w:cs="Times New Roman"/>
          <w:szCs w:val="24"/>
        </w:rPr>
      </w:pPr>
    </w:p>
    <w:p w14:paraId="2CBEECC9" w14:textId="77777777" w:rsidR="00090708" w:rsidRPr="003F1404" w:rsidRDefault="00090708" w:rsidP="002A4ABA">
      <w:pPr>
        <w:rPr>
          <w:rFonts w:cs="Times New Roman"/>
          <w:szCs w:val="24"/>
        </w:rPr>
      </w:pPr>
    </w:p>
    <w:p w14:paraId="02562F66" w14:textId="3F64FBD3" w:rsidR="00090708" w:rsidRPr="003F1404" w:rsidRDefault="00090708" w:rsidP="002A4ABA">
      <w:pPr>
        <w:rPr>
          <w:rFonts w:cs="Times New Roman"/>
          <w:szCs w:val="24"/>
        </w:rPr>
      </w:pPr>
    </w:p>
    <w:p w14:paraId="3D5C757B" w14:textId="77777777" w:rsidR="00090708" w:rsidRPr="003F1404" w:rsidRDefault="00DA4EFA" w:rsidP="00090708">
      <w:pPr>
        <w:pStyle w:val="Heading2"/>
        <w:jc w:val="center"/>
        <w:rPr>
          <w:rFonts w:ascii="Times New Roman" w:hAnsi="Times New Roman" w:cs="Times New Roman"/>
          <w:color w:val="auto"/>
          <w:sz w:val="24"/>
          <w:szCs w:val="24"/>
        </w:rPr>
      </w:pPr>
      <w:bookmarkStart w:id="9" w:name="_Toc84784226"/>
      <w:r w:rsidRPr="003F1404">
        <w:rPr>
          <w:rFonts w:ascii="Times New Roman" w:hAnsi="Times New Roman" w:cs="Times New Roman"/>
          <w:color w:val="auto"/>
          <w:sz w:val="24"/>
          <w:szCs w:val="24"/>
        </w:rPr>
        <w:t>References</w:t>
      </w:r>
      <w:bookmarkEnd w:id="9"/>
    </w:p>
    <w:p w14:paraId="1F13D703"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Appendix II: IFRS - US-GAAP comparison. (2015). </w:t>
      </w:r>
      <w:r w:rsidRPr="003F1404">
        <w:rPr>
          <w:rStyle w:val="Emphasis"/>
        </w:rPr>
        <w:t>Principles of Group Accounting under IFRS</w:t>
      </w:r>
      <w:r w:rsidRPr="003F1404">
        <w:t>, 760-765. </w:t>
      </w:r>
      <w:hyperlink r:id="rId7" w:history="1">
        <w:r w:rsidRPr="003F1404">
          <w:rPr>
            <w:rStyle w:val="Hyperlink"/>
            <w:color w:val="auto"/>
          </w:rPr>
          <w:t>https://doi.org/10.1002/9781119044826.app2</w:t>
        </w:r>
      </w:hyperlink>
    </w:p>
    <w:p w14:paraId="572C5412"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lastRenderedPageBreak/>
        <w:t xml:space="preserve">Barone, E., </w:t>
      </w:r>
      <w:proofErr w:type="spellStart"/>
      <w:r w:rsidRPr="003F1404">
        <w:t>Birt</w:t>
      </w:r>
      <w:proofErr w:type="spellEnd"/>
      <w:r w:rsidRPr="003F1404">
        <w:t>, J., &amp; Moya, S. (2014). Lease accounting: A review of recent literature. </w:t>
      </w:r>
      <w:r w:rsidRPr="003F1404">
        <w:rPr>
          <w:rStyle w:val="Emphasis"/>
        </w:rPr>
        <w:t>Accounting in Europe</w:t>
      </w:r>
      <w:r w:rsidRPr="003F1404">
        <w:t>, </w:t>
      </w:r>
      <w:r w:rsidRPr="003F1404">
        <w:rPr>
          <w:rStyle w:val="Emphasis"/>
        </w:rPr>
        <w:t>11</w:t>
      </w:r>
      <w:r w:rsidRPr="003F1404">
        <w:t>(1), 35-54. </w:t>
      </w:r>
      <w:hyperlink r:id="rId8" w:history="1">
        <w:r w:rsidRPr="003F1404">
          <w:rPr>
            <w:rStyle w:val="Hyperlink"/>
            <w:color w:val="auto"/>
          </w:rPr>
          <w:t>https://doi.org/10.1080/17449480.2014.903630</w:t>
        </w:r>
      </w:hyperlink>
    </w:p>
    <w:p w14:paraId="5AA22967"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Boatsman, J., &amp; Dong, X. (2011). Equity value implications of lease accounting. </w:t>
      </w:r>
      <w:r w:rsidRPr="003F1404">
        <w:rPr>
          <w:rStyle w:val="Emphasis"/>
        </w:rPr>
        <w:t>Accounting Horizons</w:t>
      </w:r>
      <w:r w:rsidRPr="003F1404">
        <w:t>, </w:t>
      </w:r>
      <w:r w:rsidRPr="003F1404">
        <w:rPr>
          <w:rStyle w:val="Emphasis"/>
        </w:rPr>
        <w:t>25</w:t>
      </w:r>
      <w:r w:rsidRPr="003F1404">
        <w:t>(1), 1-16. </w:t>
      </w:r>
      <w:hyperlink r:id="rId9" w:history="1">
        <w:r w:rsidRPr="003F1404">
          <w:rPr>
            <w:rStyle w:val="Hyperlink"/>
            <w:color w:val="auto"/>
          </w:rPr>
          <w:t>https://doi.org/10.2308/acch.2011.25.1.1</w:t>
        </w:r>
      </w:hyperlink>
    </w:p>
    <w:p w14:paraId="1A1B3FB8"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El-</w:t>
      </w:r>
      <w:proofErr w:type="spellStart"/>
      <w:r w:rsidRPr="003F1404">
        <w:t>Gazzar</w:t>
      </w:r>
      <w:proofErr w:type="spellEnd"/>
      <w:r w:rsidRPr="003F1404">
        <w:t>, S. M., &amp; Finn, P. M. (2017). Restatements and accounting quality: A comparison between IFRS and US-GAAP. </w:t>
      </w:r>
      <w:r w:rsidRPr="003F1404">
        <w:rPr>
          <w:rStyle w:val="Emphasis"/>
        </w:rPr>
        <w:t>Journal of Financial Reporting and Accounting</w:t>
      </w:r>
      <w:r w:rsidRPr="003F1404">
        <w:t>, </w:t>
      </w:r>
      <w:r w:rsidRPr="003F1404">
        <w:rPr>
          <w:rStyle w:val="Emphasis"/>
        </w:rPr>
        <w:t>15</w:t>
      </w:r>
      <w:r w:rsidRPr="003F1404">
        <w:t>(1), 39-58. </w:t>
      </w:r>
      <w:hyperlink r:id="rId10" w:history="1">
        <w:r w:rsidRPr="003F1404">
          <w:rPr>
            <w:rStyle w:val="Hyperlink"/>
            <w:color w:val="auto"/>
          </w:rPr>
          <w:t>https://doi.org/10.1108/jfra-10-2015-0090</w:t>
        </w:r>
      </w:hyperlink>
    </w:p>
    <w:p w14:paraId="22682D85"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Hales, J. W., Venkataraman, S., &amp; Wilks, T. J. (2011). Accounting for lease renewal options: The informational effects of unit of account choices. </w:t>
      </w:r>
      <w:r w:rsidRPr="003F1404">
        <w:rPr>
          <w:rStyle w:val="Emphasis"/>
        </w:rPr>
        <w:t>The Accounting Review</w:t>
      </w:r>
      <w:r w:rsidRPr="003F1404">
        <w:t>, </w:t>
      </w:r>
      <w:r w:rsidRPr="003F1404">
        <w:rPr>
          <w:rStyle w:val="Emphasis"/>
        </w:rPr>
        <w:t>87</w:t>
      </w:r>
      <w:r w:rsidRPr="003F1404">
        <w:t>(1), 173-197. </w:t>
      </w:r>
      <w:hyperlink r:id="rId11" w:history="1">
        <w:r w:rsidRPr="003F1404">
          <w:rPr>
            <w:rStyle w:val="Hyperlink"/>
            <w:color w:val="auto"/>
          </w:rPr>
          <w:t>https://doi.org/10.2308/accr-10165</w:t>
        </w:r>
      </w:hyperlink>
    </w:p>
    <w:p w14:paraId="11A6F939"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SACARIN, M. (2017). IFRS 16 Leases  consequences on the financial statements and financial indicators. </w:t>
      </w:r>
      <w:r w:rsidRPr="003F1404">
        <w:rPr>
          <w:rStyle w:val="Emphasis"/>
        </w:rPr>
        <w:t xml:space="preserve">Audit </w:t>
      </w:r>
      <w:proofErr w:type="spellStart"/>
      <w:r w:rsidRPr="003F1404">
        <w:rPr>
          <w:rStyle w:val="Emphasis"/>
        </w:rPr>
        <w:t>Financiar</w:t>
      </w:r>
      <w:proofErr w:type="spellEnd"/>
      <w:r w:rsidRPr="003F1404">
        <w:t>, </w:t>
      </w:r>
      <w:r w:rsidRPr="003F1404">
        <w:rPr>
          <w:rStyle w:val="Emphasis"/>
        </w:rPr>
        <w:t>15</w:t>
      </w:r>
      <w:r w:rsidRPr="003F1404">
        <w:t>(145), 114. </w:t>
      </w:r>
      <w:hyperlink r:id="rId12" w:history="1">
        <w:r w:rsidRPr="003F1404">
          <w:rPr>
            <w:rStyle w:val="Hyperlink"/>
            <w:color w:val="auto"/>
          </w:rPr>
          <w:t>https://doi.org/10.20869/auditf/2017/145/114</w:t>
        </w:r>
      </w:hyperlink>
    </w:p>
    <w:p w14:paraId="4DB3B222"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t>Shamrock, S. E. (2012). </w:t>
      </w:r>
      <w:r w:rsidRPr="003F1404">
        <w:rPr>
          <w:rStyle w:val="Emphasis"/>
        </w:rPr>
        <w:t>IFRS and us GAAP: A comprehensive comparison</w:t>
      </w:r>
      <w:r w:rsidRPr="003F1404">
        <w:t>. John Wiley &amp; Sons.</w:t>
      </w:r>
    </w:p>
    <w:p w14:paraId="01C5A590" w14:textId="77777777" w:rsidR="00090708" w:rsidRPr="003F1404" w:rsidRDefault="00DA4EFA" w:rsidP="00090708">
      <w:pPr>
        <w:pStyle w:val="NormalWeb"/>
        <w:shd w:val="clear" w:color="auto" w:fill="FFFFFF"/>
        <w:spacing w:before="0" w:beforeAutospacing="0" w:after="0" w:afterAutospacing="0" w:line="550" w:lineRule="atLeast"/>
        <w:ind w:left="720" w:right="75" w:hanging="720"/>
      </w:pPr>
      <w:r w:rsidRPr="003F1404">
        <w:rPr>
          <w:rStyle w:val="Emphasis"/>
        </w:rPr>
        <w:t xml:space="preserve">Update 2016-02â??Leases (Topic 842) section </w:t>
      </w:r>
      <w:proofErr w:type="spellStart"/>
      <w:r w:rsidRPr="003F1404">
        <w:rPr>
          <w:rStyle w:val="Emphasis"/>
        </w:rPr>
        <w:t>Aâ</w:t>
      </w:r>
      <w:proofErr w:type="spellEnd"/>
      <w:r w:rsidRPr="003F1404">
        <w:rPr>
          <w:rStyle w:val="Emphasis"/>
        </w:rPr>
        <w:t xml:space="preserve">??Leases: Amendments to the FASB accounting standards </w:t>
      </w:r>
      <w:proofErr w:type="spellStart"/>
      <w:r w:rsidRPr="003F1404">
        <w:rPr>
          <w:rStyle w:val="Emphasis"/>
        </w:rPr>
        <w:t>CodificationÂ</w:t>
      </w:r>
      <w:proofErr w:type="spellEnd"/>
      <w:r w:rsidRPr="003F1404">
        <w:rPr>
          <w:rStyle w:val="Emphasis"/>
        </w:rPr>
        <w:t>®</w:t>
      </w:r>
      <w:r w:rsidRPr="003F1404">
        <w:t>. (n.d.). FASB: Financial Accounting Standards Board. </w:t>
      </w:r>
      <w:hyperlink r:id="rId13" w:history="1">
        <w:r w:rsidRPr="003F1404">
          <w:rPr>
            <w:rStyle w:val="Hyperlink"/>
            <w:color w:val="auto"/>
          </w:rPr>
          <w:t>https://www.fasb.org/jsp/FASB/Document_C/DocumentPage?cid=1176167901010&amp;acceptedDisclaimer=true</w:t>
        </w:r>
      </w:hyperlink>
    </w:p>
    <w:p w14:paraId="546CDC3A" w14:textId="77777777" w:rsidR="00090708" w:rsidRPr="003F1404" w:rsidRDefault="00090708" w:rsidP="002A4ABA">
      <w:pPr>
        <w:rPr>
          <w:rFonts w:cs="Times New Roman"/>
          <w:szCs w:val="24"/>
        </w:rPr>
      </w:pPr>
    </w:p>
    <w:sectPr w:rsidR="00090708" w:rsidRPr="003F1404">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CBBC4" w14:textId="77777777" w:rsidR="00DA4EFA" w:rsidRDefault="00DA4EFA">
      <w:pPr>
        <w:spacing w:line="240" w:lineRule="auto"/>
      </w:pPr>
      <w:r>
        <w:separator/>
      </w:r>
    </w:p>
  </w:endnote>
  <w:endnote w:type="continuationSeparator" w:id="0">
    <w:p w14:paraId="78F95270" w14:textId="77777777" w:rsidR="00DA4EFA" w:rsidRDefault="00DA4E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DBCE9B" w14:textId="77777777" w:rsidR="00DA4EFA" w:rsidRDefault="00DA4EFA">
      <w:pPr>
        <w:spacing w:line="240" w:lineRule="auto"/>
      </w:pPr>
      <w:r>
        <w:separator/>
      </w:r>
    </w:p>
  </w:footnote>
  <w:footnote w:type="continuationSeparator" w:id="0">
    <w:p w14:paraId="139558C4" w14:textId="77777777" w:rsidR="00DA4EFA" w:rsidRDefault="00DA4E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8154216"/>
      <w:docPartObj>
        <w:docPartGallery w:val="Page Numbers (Top of Page)"/>
        <w:docPartUnique/>
      </w:docPartObj>
    </w:sdtPr>
    <w:sdtEndPr>
      <w:rPr>
        <w:noProof/>
      </w:rPr>
    </w:sdtEndPr>
    <w:sdtContent>
      <w:p w14:paraId="26FA954E" w14:textId="5A7C4E93" w:rsidR="003D0132" w:rsidRDefault="00DA4E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2039A6" w14:textId="77777777" w:rsidR="003D0132" w:rsidRDefault="003D0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132"/>
    <w:rsid w:val="000513EF"/>
    <w:rsid w:val="000846E6"/>
    <w:rsid w:val="00090708"/>
    <w:rsid w:val="000C207F"/>
    <w:rsid w:val="000D6303"/>
    <w:rsid w:val="00174E88"/>
    <w:rsid w:val="001B5B54"/>
    <w:rsid w:val="001B6DA7"/>
    <w:rsid w:val="001C4CD1"/>
    <w:rsid w:val="001C63B8"/>
    <w:rsid w:val="00264955"/>
    <w:rsid w:val="0027348D"/>
    <w:rsid w:val="002853EC"/>
    <w:rsid w:val="002A3A5E"/>
    <w:rsid w:val="002A4ABA"/>
    <w:rsid w:val="002B51D5"/>
    <w:rsid w:val="00302DFC"/>
    <w:rsid w:val="00323F97"/>
    <w:rsid w:val="00371FC2"/>
    <w:rsid w:val="003D0132"/>
    <w:rsid w:val="003F1404"/>
    <w:rsid w:val="00440508"/>
    <w:rsid w:val="004640AE"/>
    <w:rsid w:val="0048167C"/>
    <w:rsid w:val="00496B86"/>
    <w:rsid w:val="004D6ED5"/>
    <w:rsid w:val="005A2682"/>
    <w:rsid w:val="005D1F0F"/>
    <w:rsid w:val="005F116F"/>
    <w:rsid w:val="006203BC"/>
    <w:rsid w:val="0064488D"/>
    <w:rsid w:val="00645ADE"/>
    <w:rsid w:val="006C600E"/>
    <w:rsid w:val="007640AD"/>
    <w:rsid w:val="007A3E1E"/>
    <w:rsid w:val="008E2C11"/>
    <w:rsid w:val="00980E7A"/>
    <w:rsid w:val="009C3B55"/>
    <w:rsid w:val="009F5882"/>
    <w:rsid w:val="00AB6EBF"/>
    <w:rsid w:val="00B00F3D"/>
    <w:rsid w:val="00B60ADB"/>
    <w:rsid w:val="00B80587"/>
    <w:rsid w:val="00BA17D5"/>
    <w:rsid w:val="00BE0B2F"/>
    <w:rsid w:val="00BE2972"/>
    <w:rsid w:val="00C2679C"/>
    <w:rsid w:val="00C42173"/>
    <w:rsid w:val="00CA212C"/>
    <w:rsid w:val="00D472C4"/>
    <w:rsid w:val="00DA4EFA"/>
    <w:rsid w:val="00DF4596"/>
    <w:rsid w:val="00E44643"/>
    <w:rsid w:val="00F16BFC"/>
    <w:rsid w:val="00F24A00"/>
    <w:rsid w:val="00F90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81247"/>
  <w15:chartTrackingRefBased/>
  <w15:docId w15:val="{11970490-23F4-4935-8BF7-8AF6958B9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6E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B6EB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132"/>
    <w:pPr>
      <w:tabs>
        <w:tab w:val="center" w:pos="4680"/>
        <w:tab w:val="right" w:pos="9360"/>
      </w:tabs>
      <w:spacing w:line="240" w:lineRule="auto"/>
    </w:pPr>
  </w:style>
  <w:style w:type="character" w:customStyle="1" w:styleId="HeaderChar">
    <w:name w:val="Header Char"/>
    <w:basedOn w:val="DefaultParagraphFont"/>
    <w:link w:val="Header"/>
    <w:uiPriority w:val="99"/>
    <w:rsid w:val="003D0132"/>
  </w:style>
  <w:style w:type="paragraph" w:styleId="Footer">
    <w:name w:val="footer"/>
    <w:basedOn w:val="Normal"/>
    <w:link w:val="FooterChar"/>
    <w:uiPriority w:val="99"/>
    <w:unhideWhenUsed/>
    <w:rsid w:val="003D0132"/>
    <w:pPr>
      <w:tabs>
        <w:tab w:val="center" w:pos="4680"/>
        <w:tab w:val="right" w:pos="9360"/>
      </w:tabs>
      <w:spacing w:line="240" w:lineRule="auto"/>
    </w:pPr>
  </w:style>
  <w:style w:type="character" w:customStyle="1" w:styleId="FooterChar">
    <w:name w:val="Footer Char"/>
    <w:basedOn w:val="DefaultParagraphFont"/>
    <w:link w:val="Footer"/>
    <w:uiPriority w:val="99"/>
    <w:rsid w:val="003D0132"/>
  </w:style>
  <w:style w:type="character" w:styleId="CommentReference">
    <w:name w:val="annotation reference"/>
    <w:basedOn w:val="DefaultParagraphFont"/>
    <w:uiPriority w:val="99"/>
    <w:semiHidden/>
    <w:unhideWhenUsed/>
    <w:rsid w:val="000846E6"/>
    <w:rPr>
      <w:sz w:val="16"/>
      <w:szCs w:val="16"/>
    </w:rPr>
  </w:style>
  <w:style w:type="paragraph" w:styleId="CommentText">
    <w:name w:val="annotation text"/>
    <w:basedOn w:val="Normal"/>
    <w:link w:val="CommentTextChar"/>
    <w:uiPriority w:val="99"/>
    <w:semiHidden/>
    <w:unhideWhenUsed/>
    <w:rsid w:val="000846E6"/>
    <w:pPr>
      <w:spacing w:line="240" w:lineRule="auto"/>
    </w:pPr>
    <w:rPr>
      <w:sz w:val="20"/>
      <w:szCs w:val="20"/>
    </w:rPr>
  </w:style>
  <w:style w:type="character" w:customStyle="1" w:styleId="CommentTextChar">
    <w:name w:val="Comment Text Char"/>
    <w:basedOn w:val="DefaultParagraphFont"/>
    <w:link w:val="CommentText"/>
    <w:uiPriority w:val="99"/>
    <w:semiHidden/>
    <w:rsid w:val="000846E6"/>
    <w:rPr>
      <w:sz w:val="20"/>
      <w:szCs w:val="20"/>
    </w:rPr>
  </w:style>
  <w:style w:type="paragraph" w:styleId="CommentSubject">
    <w:name w:val="annotation subject"/>
    <w:basedOn w:val="CommentText"/>
    <w:next w:val="CommentText"/>
    <w:link w:val="CommentSubjectChar"/>
    <w:uiPriority w:val="99"/>
    <w:semiHidden/>
    <w:unhideWhenUsed/>
    <w:rsid w:val="000846E6"/>
    <w:rPr>
      <w:b/>
      <w:bCs/>
    </w:rPr>
  </w:style>
  <w:style w:type="character" w:customStyle="1" w:styleId="CommentSubjectChar">
    <w:name w:val="Comment Subject Char"/>
    <w:basedOn w:val="CommentTextChar"/>
    <w:link w:val="CommentSubject"/>
    <w:uiPriority w:val="99"/>
    <w:semiHidden/>
    <w:rsid w:val="000846E6"/>
    <w:rPr>
      <w:b/>
      <w:bCs/>
      <w:sz w:val="20"/>
      <w:szCs w:val="20"/>
    </w:rPr>
  </w:style>
  <w:style w:type="character" w:customStyle="1" w:styleId="Heading1Char">
    <w:name w:val="Heading 1 Char"/>
    <w:basedOn w:val="DefaultParagraphFont"/>
    <w:link w:val="Heading1"/>
    <w:uiPriority w:val="9"/>
    <w:rsid w:val="00AB6EB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B6EB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B6EBF"/>
    <w:pPr>
      <w:spacing w:line="259" w:lineRule="auto"/>
      <w:outlineLvl w:val="9"/>
    </w:pPr>
  </w:style>
  <w:style w:type="paragraph" w:styleId="TOC1">
    <w:name w:val="toc 1"/>
    <w:basedOn w:val="Normal"/>
    <w:next w:val="Normal"/>
    <w:autoRedefine/>
    <w:uiPriority w:val="39"/>
    <w:unhideWhenUsed/>
    <w:rsid w:val="00AB6EBF"/>
    <w:pPr>
      <w:spacing w:after="100"/>
    </w:pPr>
  </w:style>
  <w:style w:type="paragraph" w:styleId="TOC2">
    <w:name w:val="toc 2"/>
    <w:basedOn w:val="Normal"/>
    <w:next w:val="Normal"/>
    <w:autoRedefine/>
    <w:uiPriority w:val="39"/>
    <w:unhideWhenUsed/>
    <w:rsid w:val="00AB6EBF"/>
    <w:pPr>
      <w:spacing w:after="100"/>
      <w:ind w:left="240"/>
    </w:pPr>
  </w:style>
  <w:style w:type="character" w:styleId="Hyperlink">
    <w:name w:val="Hyperlink"/>
    <w:basedOn w:val="DefaultParagraphFont"/>
    <w:uiPriority w:val="99"/>
    <w:unhideWhenUsed/>
    <w:rsid w:val="00AB6EBF"/>
    <w:rPr>
      <w:color w:val="0563C1" w:themeColor="hyperlink"/>
      <w:u w:val="single"/>
    </w:rPr>
  </w:style>
  <w:style w:type="paragraph" w:styleId="NormalWeb">
    <w:name w:val="Normal (Web)"/>
    <w:basedOn w:val="Normal"/>
    <w:uiPriority w:val="99"/>
    <w:semiHidden/>
    <w:unhideWhenUsed/>
    <w:rsid w:val="0009070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907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7449480.2014.903630" TargetMode="External" /><Relationship Id="rId13" Type="http://schemas.openxmlformats.org/officeDocument/2006/relationships/hyperlink" Target="https://www.fasb.org/jsp/FASB/Document_C/DocumentPage?cid=1176167901010&amp;acceptedDisclaimer=true" TargetMode="External" /><Relationship Id="rId3" Type="http://schemas.openxmlformats.org/officeDocument/2006/relationships/settings" Target="settings.xml" /><Relationship Id="rId7" Type="http://schemas.openxmlformats.org/officeDocument/2006/relationships/hyperlink" Target="https://doi.org/10.1002/9781119044826.app2" TargetMode="External" /><Relationship Id="rId12" Type="http://schemas.openxmlformats.org/officeDocument/2006/relationships/hyperlink" Target="https://doi.org/10.20869/auditf/2017/145/114"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yperlink" Target="https://doi.org/10.2308/accr-10165"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s://doi.org/10.1108/jfra-10-2015-0090" TargetMode="External" /><Relationship Id="rId4" Type="http://schemas.openxmlformats.org/officeDocument/2006/relationships/webSettings" Target="webSettings.xml" /><Relationship Id="rId9" Type="http://schemas.openxmlformats.org/officeDocument/2006/relationships/hyperlink" Target="https://doi.org/10.2308/acch.2011.25.1.1"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56B5949-FA18-4DB7-8C7C-51F0404097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2180</Words>
  <Characters>12428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2021-10-10T23:36:00Z</dcterms:created>
  <dcterms:modified xsi:type="dcterms:W3CDTF">2021-10-10T23:36:00Z</dcterms:modified>
</cp:coreProperties>
</file>